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82D05" w14:textId="77777777" w:rsidR="00580840" w:rsidRDefault="000B3BEB" w:rsidP="008914DF">
      <w:pPr>
        <w:pStyle w:val="Heading1"/>
      </w:pPr>
      <w:r>
        <w:t xml:space="preserve">716 97518 </w:t>
      </w:r>
      <w:r w:rsidR="00067CEE">
        <w:t>Quality</w:t>
      </w:r>
      <w:r w:rsidR="006B1080">
        <w:t xml:space="preserve"> Practice</w:t>
      </w:r>
      <w:r w:rsidR="00067CEE">
        <w:t xml:space="preserve"> Framework</w:t>
      </w:r>
      <w:r w:rsidR="006B1080">
        <w:t xml:space="preserve"> in Occupational Health</w:t>
      </w:r>
      <w:r w:rsidR="00785987">
        <w:t xml:space="preserve"> </w:t>
      </w:r>
      <w:r w:rsidR="001A22C1">
        <w:t>(Injury Management and Prevention)</w:t>
      </w:r>
    </w:p>
    <w:p w14:paraId="5603FDF8" w14:textId="77777777" w:rsidR="00B43799" w:rsidRDefault="00B43799" w:rsidP="00B43799"/>
    <w:p w14:paraId="7232F52C" w14:textId="77777777" w:rsidR="00B43799" w:rsidRPr="00B43799" w:rsidRDefault="00B43799" w:rsidP="00B43799">
      <w:pPr>
        <w:pStyle w:val="Heading2"/>
      </w:pPr>
      <w:r>
        <w:t>Knowledge and skills for standing in Osteopathy Australia’s Occupational Health Clinical Practice Group (CPG)</w:t>
      </w:r>
    </w:p>
    <w:p w14:paraId="27F49046" w14:textId="77777777" w:rsidR="00B2597E" w:rsidRPr="00B2597E" w:rsidRDefault="00B2597E" w:rsidP="00B2597E"/>
    <w:p w14:paraId="6C4F877F" w14:textId="77777777" w:rsidR="007E7953" w:rsidRPr="007E7953" w:rsidRDefault="007E7953" w:rsidP="00D84BD8">
      <w:pPr>
        <w:pStyle w:val="Heading2"/>
      </w:pPr>
      <w:r w:rsidRPr="007E7953">
        <w:t>Improving outcomes for patients</w:t>
      </w:r>
    </w:p>
    <w:p w14:paraId="420E0A93" w14:textId="77777777" w:rsidR="007E7953" w:rsidRPr="007E7953" w:rsidRDefault="007E7953" w:rsidP="007E7953">
      <w:pPr>
        <w:rPr>
          <w:rFonts w:ascii="Calibri" w:hAnsi="Calibri" w:cs="Calibri"/>
        </w:rPr>
      </w:pPr>
    </w:p>
    <w:p w14:paraId="2FB8718F" w14:textId="77777777" w:rsidR="00B85841" w:rsidRDefault="00731E65" w:rsidP="007E7953">
      <w:pPr>
        <w:rPr>
          <w:rFonts w:ascii="Calibri" w:hAnsi="Calibri" w:cs="Calibri"/>
          <w:sz w:val="24"/>
          <w:szCs w:val="24"/>
        </w:rPr>
      </w:pPr>
      <w:r>
        <w:rPr>
          <w:rFonts w:ascii="Calibri" w:hAnsi="Calibri" w:cs="Calibri"/>
          <w:sz w:val="24"/>
          <w:szCs w:val="24"/>
        </w:rPr>
        <w:t xml:space="preserve">Annually, </w:t>
      </w:r>
      <w:r w:rsidR="00077E03" w:rsidRPr="008914DF">
        <w:rPr>
          <w:rFonts w:ascii="Calibri" w:hAnsi="Calibri" w:cs="Calibri"/>
          <w:sz w:val="24"/>
          <w:szCs w:val="24"/>
        </w:rPr>
        <w:t xml:space="preserve">there </w:t>
      </w:r>
      <w:r>
        <w:rPr>
          <w:rFonts w:ascii="Calibri" w:hAnsi="Calibri" w:cs="Calibri"/>
          <w:sz w:val="24"/>
          <w:szCs w:val="24"/>
        </w:rPr>
        <w:t xml:space="preserve">are </w:t>
      </w:r>
      <w:r w:rsidR="00077E03" w:rsidRPr="008914DF">
        <w:rPr>
          <w:rFonts w:ascii="Calibri" w:hAnsi="Calibri" w:cs="Calibri"/>
          <w:sz w:val="24"/>
          <w:szCs w:val="24"/>
        </w:rPr>
        <w:t>over 100,000 claims for occupational injuries, defined as an event</w:t>
      </w:r>
      <w:r w:rsidR="00652804" w:rsidRPr="008914DF">
        <w:rPr>
          <w:rFonts w:ascii="Calibri" w:hAnsi="Calibri" w:cs="Calibri"/>
          <w:sz w:val="24"/>
          <w:szCs w:val="24"/>
        </w:rPr>
        <w:t xml:space="preserve"> at work</w:t>
      </w:r>
      <w:r w:rsidR="00077E03" w:rsidRPr="008914DF">
        <w:rPr>
          <w:rFonts w:ascii="Calibri" w:hAnsi="Calibri" w:cs="Calibri"/>
          <w:sz w:val="24"/>
          <w:szCs w:val="24"/>
        </w:rPr>
        <w:t xml:space="preserve"> t</w:t>
      </w:r>
      <w:r w:rsidR="003F0695">
        <w:rPr>
          <w:rFonts w:ascii="Calibri" w:hAnsi="Calibri" w:cs="Calibri"/>
          <w:sz w:val="24"/>
          <w:szCs w:val="24"/>
        </w:rPr>
        <w:t>hat results in one or more week</w:t>
      </w:r>
      <w:r w:rsidR="00077E03" w:rsidRPr="008914DF">
        <w:rPr>
          <w:rFonts w:ascii="Calibri" w:hAnsi="Calibri" w:cs="Calibri"/>
          <w:sz w:val="24"/>
          <w:szCs w:val="24"/>
        </w:rPr>
        <w:t>s</w:t>
      </w:r>
      <w:r w:rsidR="00CC3AB6">
        <w:rPr>
          <w:rFonts w:ascii="Calibri" w:hAnsi="Calibri" w:cs="Calibri"/>
          <w:sz w:val="24"/>
          <w:szCs w:val="24"/>
        </w:rPr>
        <w:t xml:space="preserve"> of</w:t>
      </w:r>
      <w:r w:rsidR="00077E03" w:rsidRPr="008914DF">
        <w:rPr>
          <w:rFonts w:ascii="Calibri" w:hAnsi="Calibri" w:cs="Calibri"/>
          <w:sz w:val="24"/>
          <w:szCs w:val="24"/>
        </w:rPr>
        <w:t xml:space="preserve"> absence from paid employment.</w:t>
      </w:r>
      <w:r w:rsidR="00B85841" w:rsidRPr="008914DF">
        <w:rPr>
          <w:rStyle w:val="FootnoteReference"/>
          <w:rFonts w:ascii="Calibri" w:hAnsi="Calibri" w:cs="Calibri"/>
          <w:sz w:val="24"/>
          <w:szCs w:val="24"/>
        </w:rPr>
        <w:footnoteReference w:id="1"/>
      </w:r>
      <w:r w:rsidR="00B85841" w:rsidRPr="008914DF">
        <w:rPr>
          <w:rFonts w:ascii="Calibri" w:hAnsi="Calibri" w:cs="Calibri"/>
          <w:sz w:val="24"/>
          <w:szCs w:val="24"/>
        </w:rPr>
        <w:t xml:space="preserve"> </w:t>
      </w:r>
      <w:r w:rsidR="00077E03" w:rsidRPr="008914DF">
        <w:rPr>
          <w:rFonts w:ascii="Calibri" w:hAnsi="Calibri" w:cs="Calibri"/>
          <w:sz w:val="24"/>
          <w:szCs w:val="24"/>
        </w:rPr>
        <w:t>This statistic does not account for the number of claims that result in a</w:t>
      </w:r>
      <w:r w:rsidR="00447230">
        <w:rPr>
          <w:rFonts w:ascii="Calibri" w:hAnsi="Calibri" w:cs="Calibri"/>
          <w:sz w:val="24"/>
          <w:szCs w:val="24"/>
        </w:rPr>
        <w:t>n absence of less than one week</w:t>
      </w:r>
      <w:r w:rsidR="00652804" w:rsidRPr="008914DF">
        <w:rPr>
          <w:rFonts w:ascii="Calibri" w:hAnsi="Calibri" w:cs="Calibri"/>
          <w:sz w:val="24"/>
          <w:szCs w:val="24"/>
        </w:rPr>
        <w:t>.</w:t>
      </w:r>
      <w:r w:rsidR="00290EA6" w:rsidRPr="008914DF">
        <w:rPr>
          <w:rStyle w:val="FootnoteReference"/>
          <w:rFonts w:ascii="Calibri" w:hAnsi="Calibri" w:cs="Calibri"/>
          <w:sz w:val="24"/>
          <w:szCs w:val="24"/>
        </w:rPr>
        <w:footnoteReference w:id="2"/>
      </w:r>
    </w:p>
    <w:p w14:paraId="51E951B7" w14:textId="77777777" w:rsidR="00EF43D9" w:rsidRDefault="00000FAA" w:rsidP="007E7953">
      <w:pPr>
        <w:rPr>
          <w:rFonts w:ascii="Calibri" w:hAnsi="Calibri" w:cs="Calibri"/>
          <w:sz w:val="24"/>
          <w:szCs w:val="24"/>
        </w:rPr>
      </w:pPr>
      <w:r>
        <w:rPr>
          <w:rFonts w:ascii="Calibri" w:hAnsi="Calibri" w:cs="Calibri"/>
          <w:sz w:val="24"/>
          <w:szCs w:val="24"/>
        </w:rPr>
        <w:t>W</w:t>
      </w:r>
      <w:r w:rsidR="009C16B7">
        <w:rPr>
          <w:rFonts w:ascii="Calibri" w:hAnsi="Calibri" w:cs="Calibri"/>
          <w:sz w:val="24"/>
          <w:szCs w:val="24"/>
        </w:rPr>
        <w:t>ork</w:t>
      </w:r>
      <w:r w:rsidR="004656A4">
        <w:rPr>
          <w:rFonts w:ascii="Calibri" w:hAnsi="Calibri" w:cs="Calibri"/>
          <w:sz w:val="24"/>
          <w:szCs w:val="24"/>
        </w:rPr>
        <w:t>force participation is a key</w:t>
      </w:r>
      <w:r w:rsidR="009C16B7">
        <w:rPr>
          <w:rFonts w:ascii="Calibri" w:hAnsi="Calibri" w:cs="Calibri"/>
          <w:sz w:val="24"/>
          <w:szCs w:val="24"/>
        </w:rPr>
        <w:t xml:space="preserve"> determinate of health, welfare and wellbeing. It also facilitates belonging</w:t>
      </w:r>
      <w:r w:rsidR="00EF43D9">
        <w:rPr>
          <w:rFonts w:ascii="Calibri" w:hAnsi="Calibri" w:cs="Calibri"/>
          <w:sz w:val="24"/>
          <w:szCs w:val="24"/>
        </w:rPr>
        <w:t>,</w:t>
      </w:r>
      <w:r w:rsidR="009C16B7">
        <w:rPr>
          <w:rFonts w:ascii="Calibri" w:hAnsi="Calibri" w:cs="Calibri"/>
          <w:sz w:val="24"/>
          <w:szCs w:val="24"/>
        </w:rPr>
        <w:t xml:space="preserve"> community participation</w:t>
      </w:r>
      <w:r w:rsidR="00EF43D9">
        <w:rPr>
          <w:rFonts w:ascii="Calibri" w:hAnsi="Calibri" w:cs="Calibri"/>
          <w:sz w:val="24"/>
          <w:szCs w:val="24"/>
        </w:rPr>
        <w:t xml:space="preserve"> and purpose</w:t>
      </w:r>
      <w:r w:rsidR="009C16B7">
        <w:rPr>
          <w:rFonts w:ascii="Calibri" w:hAnsi="Calibri" w:cs="Calibri"/>
          <w:sz w:val="24"/>
          <w:szCs w:val="24"/>
        </w:rPr>
        <w:t xml:space="preserve">. Conversely </w:t>
      </w:r>
      <w:r w:rsidR="00CC3AB6">
        <w:rPr>
          <w:rFonts w:ascii="Calibri" w:hAnsi="Calibri" w:cs="Calibri"/>
          <w:sz w:val="24"/>
          <w:szCs w:val="24"/>
        </w:rPr>
        <w:t xml:space="preserve">workforce </w:t>
      </w:r>
      <w:r w:rsidR="009C16B7">
        <w:rPr>
          <w:rFonts w:ascii="Calibri" w:hAnsi="Calibri" w:cs="Calibri"/>
          <w:sz w:val="24"/>
          <w:szCs w:val="24"/>
        </w:rPr>
        <w:t>absenc</w:t>
      </w:r>
      <w:r w:rsidR="00E24595">
        <w:rPr>
          <w:rFonts w:ascii="Calibri" w:hAnsi="Calibri" w:cs="Calibri"/>
          <w:sz w:val="24"/>
          <w:szCs w:val="24"/>
        </w:rPr>
        <w:t>e is detrimental to</w:t>
      </w:r>
      <w:r w:rsidR="00EF43D9">
        <w:rPr>
          <w:rFonts w:ascii="Calibri" w:hAnsi="Calibri" w:cs="Calibri"/>
          <w:sz w:val="24"/>
          <w:szCs w:val="24"/>
        </w:rPr>
        <w:t xml:space="preserve"> psychological, social, physical and emotional wellbeing.</w:t>
      </w:r>
      <w:r w:rsidR="00EF43D9">
        <w:rPr>
          <w:rStyle w:val="FootnoteReference"/>
          <w:rFonts w:ascii="Calibri" w:hAnsi="Calibri" w:cs="Calibri"/>
          <w:sz w:val="24"/>
          <w:szCs w:val="24"/>
        </w:rPr>
        <w:footnoteReference w:id="3"/>
      </w:r>
      <w:r w:rsidR="006D76CC">
        <w:rPr>
          <w:rFonts w:ascii="Calibri" w:hAnsi="Calibri" w:cs="Calibri"/>
          <w:sz w:val="24"/>
          <w:szCs w:val="24"/>
        </w:rPr>
        <w:t xml:space="preserve"> </w:t>
      </w:r>
    </w:p>
    <w:p w14:paraId="7EF0C05A" w14:textId="77777777" w:rsidR="00000FAA" w:rsidRDefault="00C23A5A" w:rsidP="003F0D4C">
      <w:pPr>
        <w:rPr>
          <w:rFonts w:ascii="Calibri" w:hAnsi="Calibri" w:cs="Calibri"/>
          <w:sz w:val="24"/>
          <w:szCs w:val="24"/>
        </w:rPr>
      </w:pPr>
      <w:r>
        <w:rPr>
          <w:rFonts w:ascii="Calibri" w:hAnsi="Calibri" w:cs="Calibri"/>
          <w:sz w:val="24"/>
          <w:szCs w:val="24"/>
        </w:rPr>
        <w:t>At least</w:t>
      </w:r>
      <w:r w:rsidR="007E7953" w:rsidRPr="008914DF">
        <w:rPr>
          <w:rFonts w:ascii="Calibri" w:hAnsi="Calibri" w:cs="Calibri"/>
          <w:sz w:val="24"/>
          <w:szCs w:val="24"/>
        </w:rPr>
        <w:t xml:space="preserve"> 50,000 Australians consult osteo</w:t>
      </w:r>
      <w:r w:rsidR="00CC3AB6">
        <w:rPr>
          <w:rFonts w:ascii="Calibri" w:hAnsi="Calibri" w:cs="Calibri"/>
          <w:sz w:val="24"/>
          <w:szCs w:val="24"/>
        </w:rPr>
        <w:t>paths each week, and many do so</w:t>
      </w:r>
      <w:r w:rsidR="00082277">
        <w:rPr>
          <w:rFonts w:ascii="Calibri" w:hAnsi="Calibri" w:cs="Calibri"/>
          <w:sz w:val="24"/>
          <w:szCs w:val="24"/>
        </w:rPr>
        <w:t xml:space="preserve"> to manage</w:t>
      </w:r>
      <w:r w:rsidR="008914DF" w:rsidRPr="008914DF">
        <w:rPr>
          <w:rFonts w:ascii="Calibri" w:hAnsi="Calibri" w:cs="Calibri"/>
          <w:sz w:val="24"/>
          <w:szCs w:val="24"/>
        </w:rPr>
        <w:t xml:space="preserve"> an occupational injury or for employment related clinical services and advice.</w:t>
      </w:r>
      <w:r w:rsidR="00447230">
        <w:rPr>
          <w:rFonts w:ascii="Calibri" w:hAnsi="Calibri" w:cs="Calibri"/>
          <w:sz w:val="24"/>
          <w:szCs w:val="24"/>
        </w:rPr>
        <w:t xml:space="preserve"> </w:t>
      </w:r>
    </w:p>
    <w:p w14:paraId="75104BF5" w14:textId="77777777" w:rsidR="009C16B7" w:rsidRDefault="00447230" w:rsidP="003F0D4C">
      <w:pPr>
        <w:rPr>
          <w:rFonts w:ascii="Calibri" w:hAnsi="Calibri" w:cs="Calibri"/>
          <w:sz w:val="24"/>
          <w:szCs w:val="24"/>
        </w:rPr>
      </w:pPr>
      <w:r>
        <w:rPr>
          <w:rFonts w:ascii="Calibri" w:hAnsi="Calibri" w:cs="Calibri"/>
          <w:sz w:val="24"/>
          <w:szCs w:val="24"/>
        </w:rPr>
        <w:t xml:space="preserve">Osteopaths have </w:t>
      </w:r>
      <w:r w:rsidR="00E24595">
        <w:rPr>
          <w:rFonts w:ascii="Calibri" w:hAnsi="Calibri" w:cs="Calibri"/>
          <w:sz w:val="24"/>
          <w:szCs w:val="24"/>
        </w:rPr>
        <w:t>diverse roles in the field and many</w:t>
      </w:r>
      <w:r>
        <w:rPr>
          <w:rFonts w:ascii="Calibri" w:hAnsi="Calibri" w:cs="Calibri"/>
          <w:sz w:val="24"/>
          <w:szCs w:val="24"/>
        </w:rPr>
        <w:t xml:space="preserve"> </w:t>
      </w:r>
      <w:proofErr w:type="gramStart"/>
      <w:r w:rsidR="00CC3AB6">
        <w:rPr>
          <w:rFonts w:ascii="Calibri" w:hAnsi="Calibri" w:cs="Calibri"/>
          <w:sz w:val="24"/>
          <w:szCs w:val="24"/>
        </w:rPr>
        <w:t>focus</w:t>
      </w:r>
      <w:proofErr w:type="gramEnd"/>
      <w:r>
        <w:rPr>
          <w:rFonts w:ascii="Calibri" w:hAnsi="Calibri" w:cs="Calibri"/>
          <w:sz w:val="24"/>
          <w:szCs w:val="24"/>
        </w:rPr>
        <w:t xml:space="preserve"> on the management of occupational injuries in</w:t>
      </w:r>
      <w:r w:rsidR="00CC3AB6">
        <w:rPr>
          <w:rFonts w:ascii="Calibri" w:hAnsi="Calibri" w:cs="Calibri"/>
          <w:sz w:val="24"/>
          <w:szCs w:val="24"/>
        </w:rPr>
        <w:t xml:space="preserve"> indiv</w:t>
      </w:r>
      <w:r w:rsidR="00E24595">
        <w:rPr>
          <w:rFonts w:ascii="Calibri" w:hAnsi="Calibri" w:cs="Calibri"/>
          <w:sz w:val="24"/>
          <w:szCs w:val="24"/>
        </w:rPr>
        <w:t>idual clients, while others perform</w:t>
      </w:r>
      <w:r w:rsidR="00CC3AB6">
        <w:rPr>
          <w:rFonts w:ascii="Calibri" w:hAnsi="Calibri" w:cs="Calibri"/>
          <w:sz w:val="24"/>
          <w:szCs w:val="24"/>
        </w:rPr>
        <w:t xml:space="preserve"> </w:t>
      </w:r>
      <w:r w:rsidR="00797A8E">
        <w:rPr>
          <w:rFonts w:ascii="Calibri" w:hAnsi="Calibri" w:cs="Calibri"/>
          <w:sz w:val="24"/>
          <w:szCs w:val="24"/>
        </w:rPr>
        <w:t>advisory and/or</w:t>
      </w:r>
      <w:r w:rsidR="00CC3AB6">
        <w:rPr>
          <w:rFonts w:ascii="Calibri" w:hAnsi="Calibri" w:cs="Calibri"/>
          <w:sz w:val="24"/>
          <w:szCs w:val="24"/>
        </w:rPr>
        <w:t xml:space="preserve"> consulta</w:t>
      </w:r>
      <w:r w:rsidR="00E24595">
        <w:rPr>
          <w:rFonts w:ascii="Calibri" w:hAnsi="Calibri" w:cs="Calibri"/>
          <w:sz w:val="24"/>
          <w:szCs w:val="24"/>
        </w:rPr>
        <w:t>ncy roles in partnership with other O</w:t>
      </w:r>
      <w:r w:rsidR="00B43799">
        <w:rPr>
          <w:rFonts w:ascii="Calibri" w:hAnsi="Calibri" w:cs="Calibri"/>
          <w:sz w:val="24"/>
          <w:szCs w:val="24"/>
        </w:rPr>
        <w:t>ccupational, Health and Safety (OHS)</w:t>
      </w:r>
      <w:r w:rsidR="00E24595">
        <w:rPr>
          <w:rFonts w:ascii="Calibri" w:hAnsi="Calibri" w:cs="Calibri"/>
          <w:sz w:val="24"/>
          <w:szCs w:val="24"/>
        </w:rPr>
        <w:t xml:space="preserve"> professionals, both generalists and health practitioners.</w:t>
      </w:r>
    </w:p>
    <w:p w14:paraId="0D3EDB3C" w14:textId="35174576" w:rsidR="00E113E6" w:rsidRDefault="00CC3AB6" w:rsidP="003F0D4C">
      <w:pPr>
        <w:rPr>
          <w:rFonts w:ascii="Calibri" w:hAnsi="Calibri" w:cs="Calibri"/>
          <w:sz w:val="24"/>
          <w:szCs w:val="24"/>
        </w:rPr>
      </w:pPr>
      <w:r>
        <w:rPr>
          <w:rFonts w:ascii="Calibri" w:hAnsi="Calibri" w:cs="Calibri"/>
          <w:sz w:val="24"/>
          <w:szCs w:val="24"/>
        </w:rPr>
        <w:t>Osteopaths have detailed knowledge of biomechanics and human movem</w:t>
      </w:r>
      <w:r w:rsidR="00394E04">
        <w:rPr>
          <w:rFonts w:ascii="Calibri" w:hAnsi="Calibri" w:cs="Calibri"/>
          <w:sz w:val="24"/>
          <w:szCs w:val="24"/>
        </w:rPr>
        <w:t>ent and</w:t>
      </w:r>
      <w:r>
        <w:rPr>
          <w:rFonts w:ascii="Calibri" w:hAnsi="Calibri" w:cs="Calibri"/>
          <w:sz w:val="24"/>
          <w:szCs w:val="24"/>
        </w:rPr>
        <w:t xml:space="preserve"> couple this awareness with</w:t>
      </w:r>
      <w:r w:rsidR="005C7C91">
        <w:rPr>
          <w:rFonts w:ascii="Calibri" w:hAnsi="Calibri" w:cs="Calibri"/>
          <w:sz w:val="24"/>
          <w:szCs w:val="24"/>
        </w:rPr>
        <w:t xml:space="preserve"> </w:t>
      </w:r>
      <w:r w:rsidR="005C7C91" w:rsidRPr="005C7C91">
        <w:rPr>
          <w:rFonts w:ascii="Calibri" w:hAnsi="Calibri" w:cs="Calibri"/>
          <w:sz w:val="24"/>
          <w:szCs w:val="24"/>
        </w:rPr>
        <w:t xml:space="preserve">neuro-musculoskeletal diagnostic, functional assessment, </w:t>
      </w:r>
      <w:r w:rsidR="005C7C91" w:rsidRPr="005C7C91">
        <w:rPr>
          <w:rFonts w:ascii="Calibri" w:hAnsi="Calibri" w:cs="Calibri"/>
          <w:sz w:val="24"/>
          <w:szCs w:val="24"/>
        </w:rPr>
        <w:annotationRef/>
      </w:r>
      <w:r w:rsidR="005C7C91" w:rsidRPr="005C7C91">
        <w:rPr>
          <w:rFonts w:ascii="Calibri" w:hAnsi="Calibri" w:cs="Calibri"/>
          <w:sz w:val="24"/>
          <w:szCs w:val="24"/>
        </w:rPr>
        <w:t>injury management and injury risk reduction competencies</w:t>
      </w:r>
      <w:r>
        <w:rPr>
          <w:rFonts w:ascii="Calibri" w:hAnsi="Calibri" w:cs="Calibri"/>
          <w:sz w:val="24"/>
          <w:szCs w:val="24"/>
        </w:rPr>
        <w:t xml:space="preserve">. </w:t>
      </w:r>
    </w:p>
    <w:p w14:paraId="3F6D4F8F" w14:textId="77777777" w:rsidR="00B43799" w:rsidRDefault="004A6D73" w:rsidP="00B43799">
      <w:pPr>
        <w:rPr>
          <w:rFonts w:ascii="Calibri" w:hAnsi="Calibri" w:cs="Calibri"/>
          <w:sz w:val="24"/>
          <w:szCs w:val="24"/>
        </w:rPr>
      </w:pPr>
      <w:r>
        <w:rPr>
          <w:rFonts w:ascii="Calibri" w:hAnsi="Calibri" w:cs="Calibri"/>
          <w:sz w:val="24"/>
          <w:szCs w:val="24"/>
        </w:rPr>
        <w:t>O</w:t>
      </w:r>
      <w:r w:rsidR="00394E04">
        <w:rPr>
          <w:rFonts w:ascii="Calibri" w:hAnsi="Calibri" w:cs="Calibri"/>
          <w:sz w:val="24"/>
          <w:szCs w:val="24"/>
        </w:rPr>
        <w:t>steopaths</w:t>
      </w:r>
      <w:r w:rsidR="00EF43D9">
        <w:rPr>
          <w:rFonts w:ascii="Calibri" w:hAnsi="Calibri" w:cs="Calibri"/>
          <w:sz w:val="24"/>
          <w:szCs w:val="24"/>
        </w:rPr>
        <w:t xml:space="preserve"> </w:t>
      </w:r>
      <w:r>
        <w:rPr>
          <w:rFonts w:ascii="Calibri" w:hAnsi="Calibri" w:cs="Calibri"/>
          <w:sz w:val="24"/>
          <w:szCs w:val="24"/>
        </w:rPr>
        <w:t>have a key role</w:t>
      </w:r>
      <w:r w:rsidR="00394E04">
        <w:rPr>
          <w:rFonts w:ascii="Calibri" w:hAnsi="Calibri" w:cs="Calibri"/>
          <w:sz w:val="24"/>
          <w:szCs w:val="24"/>
        </w:rPr>
        <w:t xml:space="preserve"> in enabling</w:t>
      </w:r>
      <w:r w:rsidR="00EF43D9">
        <w:rPr>
          <w:rFonts w:ascii="Calibri" w:hAnsi="Calibri" w:cs="Calibri"/>
          <w:sz w:val="24"/>
          <w:szCs w:val="24"/>
        </w:rPr>
        <w:t xml:space="preserve"> longevity </w:t>
      </w:r>
      <w:r>
        <w:rPr>
          <w:rFonts w:ascii="Calibri" w:hAnsi="Calibri" w:cs="Calibri"/>
          <w:sz w:val="24"/>
          <w:szCs w:val="24"/>
        </w:rPr>
        <w:t>of workforce participation</w:t>
      </w:r>
      <w:r w:rsidR="00447230">
        <w:rPr>
          <w:rFonts w:ascii="Calibri" w:hAnsi="Calibri" w:cs="Calibri"/>
          <w:sz w:val="24"/>
          <w:szCs w:val="24"/>
        </w:rPr>
        <w:t xml:space="preserve"> in a spirit of alignment with the Royal Australian College of Physicians (RAPC) </w:t>
      </w:r>
      <w:r w:rsidR="00447230">
        <w:rPr>
          <w:rFonts w:ascii="Calibri" w:hAnsi="Calibri" w:cs="Calibri"/>
          <w:i/>
          <w:sz w:val="24"/>
          <w:szCs w:val="24"/>
        </w:rPr>
        <w:t>Position Statement: realising the health benefits of work</w:t>
      </w:r>
      <w:r w:rsidR="00447230">
        <w:rPr>
          <w:rFonts w:ascii="Calibri" w:hAnsi="Calibri" w:cs="Calibri"/>
          <w:sz w:val="24"/>
          <w:szCs w:val="24"/>
        </w:rPr>
        <w:t xml:space="preserve"> </w:t>
      </w:r>
      <w:r>
        <w:rPr>
          <w:rFonts w:ascii="Calibri" w:hAnsi="Calibri" w:cs="Calibri"/>
          <w:sz w:val="24"/>
          <w:szCs w:val="24"/>
        </w:rPr>
        <w:t>–</w:t>
      </w:r>
      <w:r w:rsidR="00394E04">
        <w:rPr>
          <w:rFonts w:ascii="Calibri" w:hAnsi="Calibri" w:cs="Calibri"/>
          <w:sz w:val="24"/>
          <w:szCs w:val="24"/>
        </w:rPr>
        <w:t xml:space="preserve"> </w:t>
      </w:r>
      <w:r>
        <w:rPr>
          <w:rFonts w:ascii="Calibri" w:hAnsi="Calibri" w:cs="Calibri"/>
          <w:sz w:val="24"/>
          <w:szCs w:val="24"/>
        </w:rPr>
        <w:t>to which</w:t>
      </w:r>
      <w:r w:rsidR="00447230">
        <w:rPr>
          <w:rFonts w:ascii="Calibri" w:hAnsi="Calibri" w:cs="Calibri"/>
          <w:sz w:val="24"/>
          <w:szCs w:val="24"/>
        </w:rPr>
        <w:t xml:space="preserve"> Osteopathy Australia is a si</w:t>
      </w:r>
      <w:r>
        <w:rPr>
          <w:rFonts w:ascii="Calibri" w:hAnsi="Calibri" w:cs="Calibri"/>
          <w:sz w:val="24"/>
          <w:szCs w:val="24"/>
        </w:rPr>
        <w:t>gnatory</w:t>
      </w:r>
      <w:r w:rsidR="00447230">
        <w:rPr>
          <w:rFonts w:ascii="Calibri" w:hAnsi="Calibri" w:cs="Calibri"/>
          <w:sz w:val="24"/>
          <w:szCs w:val="24"/>
        </w:rPr>
        <w:t xml:space="preserve">. </w:t>
      </w:r>
    </w:p>
    <w:p w14:paraId="5F91F4B8" w14:textId="77777777" w:rsidR="00B43799" w:rsidRPr="00B43799" w:rsidRDefault="00B43799" w:rsidP="00B43799">
      <w:pPr>
        <w:rPr>
          <w:rFonts w:ascii="Calibri" w:hAnsi="Calibri" w:cs="Calibri"/>
          <w:sz w:val="24"/>
          <w:szCs w:val="24"/>
        </w:rPr>
      </w:pPr>
    </w:p>
    <w:p w14:paraId="7D661387" w14:textId="77777777" w:rsidR="007E7953" w:rsidRPr="000A5CCE" w:rsidRDefault="00C87A33" w:rsidP="00D84BD8">
      <w:pPr>
        <w:pStyle w:val="Heading2"/>
      </w:pPr>
      <w:r>
        <w:lastRenderedPageBreak/>
        <w:t>The osteopathic profession</w:t>
      </w:r>
    </w:p>
    <w:p w14:paraId="50081655" w14:textId="77777777" w:rsidR="00B0638E" w:rsidRDefault="00B0638E" w:rsidP="008914DF">
      <w:pPr>
        <w:rPr>
          <w:rFonts w:ascii="Calibri" w:hAnsi="Calibri" w:cs="Calibri"/>
          <w:sz w:val="24"/>
          <w:szCs w:val="24"/>
        </w:rPr>
      </w:pPr>
    </w:p>
    <w:p w14:paraId="614D911F" w14:textId="77777777" w:rsidR="003C1AA0" w:rsidRDefault="003C1AA0" w:rsidP="008914DF">
      <w:pPr>
        <w:rPr>
          <w:rFonts w:ascii="Calibri" w:hAnsi="Calibri" w:cs="Calibri"/>
          <w:sz w:val="24"/>
          <w:szCs w:val="24"/>
        </w:rPr>
      </w:pPr>
      <w:r>
        <w:rPr>
          <w:rFonts w:ascii="Calibri" w:hAnsi="Calibri" w:cs="Calibri"/>
          <w:sz w:val="24"/>
          <w:szCs w:val="24"/>
        </w:rPr>
        <w:t xml:space="preserve">Osteopaths in Australia complete a double Bachelor or a Bachelor and </w:t>
      </w:r>
      <w:proofErr w:type="gramStart"/>
      <w:r>
        <w:rPr>
          <w:rFonts w:ascii="Calibri" w:hAnsi="Calibri" w:cs="Calibri"/>
          <w:sz w:val="24"/>
          <w:szCs w:val="24"/>
        </w:rPr>
        <w:t>Masters</w:t>
      </w:r>
      <w:proofErr w:type="gramEnd"/>
      <w:r>
        <w:rPr>
          <w:rFonts w:ascii="Calibri" w:hAnsi="Calibri" w:cs="Calibri"/>
          <w:sz w:val="24"/>
          <w:szCs w:val="24"/>
        </w:rPr>
        <w:t xml:space="preserve"> qualification at an accredited university and are registered with the Australian Health Practitioner Regulation Agency (AHPRA). </w:t>
      </w:r>
    </w:p>
    <w:p w14:paraId="77C52EB8" w14:textId="77777777" w:rsidR="003F0D4C" w:rsidRDefault="007E7953" w:rsidP="008914DF">
      <w:pPr>
        <w:rPr>
          <w:rFonts w:ascii="Calibri" w:hAnsi="Calibri" w:cs="Calibri"/>
          <w:sz w:val="24"/>
          <w:szCs w:val="24"/>
        </w:rPr>
      </w:pPr>
      <w:r w:rsidRPr="008914DF">
        <w:rPr>
          <w:rFonts w:ascii="Calibri" w:hAnsi="Calibri" w:cs="Calibri"/>
          <w:sz w:val="24"/>
          <w:szCs w:val="24"/>
        </w:rPr>
        <w:t xml:space="preserve">Osteopathy Australia is the peak professional body, representing approximately 90% of registered osteopaths in Australia. The osteopathic profession is becoming increasingly diversified, with many members of Osteopathy Australia completing further tertiary qualifications in specific areas of clinical practice to expand their clinical skills. Others, through dedicated experience have developed core competencies and skills relating to specific clinical issues and patient groups. </w:t>
      </w:r>
    </w:p>
    <w:p w14:paraId="629E4E97" w14:textId="77777777" w:rsidR="00394E04" w:rsidRPr="00394E04" w:rsidRDefault="00F33CFF" w:rsidP="008914DF">
      <w:pPr>
        <w:rPr>
          <w:rFonts w:ascii="Calibri" w:hAnsi="Calibri" w:cs="Calibri"/>
          <w:sz w:val="24"/>
          <w:szCs w:val="24"/>
        </w:rPr>
      </w:pPr>
      <w:r>
        <w:rPr>
          <w:rFonts w:ascii="Calibri" w:hAnsi="Calibri" w:cs="Calibri"/>
          <w:sz w:val="24"/>
          <w:szCs w:val="24"/>
        </w:rPr>
        <w:t xml:space="preserve">  </w:t>
      </w:r>
    </w:p>
    <w:p w14:paraId="6E39D989" w14:textId="77777777" w:rsidR="007E7953" w:rsidRPr="000A5CCE" w:rsidRDefault="007E7953" w:rsidP="00D84BD8">
      <w:pPr>
        <w:pStyle w:val="Heading2"/>
      </w:pPr>
      <w:r w:rsidRPr="000A5CCE">
        <w:t>Promoting clinical excellence in osteopathic practice</w:t>
      </w:r>
    </w:p>
    <w:p w14:paraId="3C5B3F13" w14:textId="77777777" w:rsidR="007E7953" w:rsidRPr="008914DF" w:rsidRDefault="007E7953" w:rsidP="007E7953">
      <w:pPr>
        <w:rPr>
          <w:rFonts w:ascii="Calibri" w:hAnsi="Calibri" w:cs="Calibri"/>
          <w:sz w:val="24"/>
          <w:szCs w:val="24"/>
        </w:rPr>
      </w:pPr>
    </w:p>
    <w:p w14:paraId="138FA1BC" w14:textId="77777777" w:rsidR="007E7953" w:rsidRPr="008914DF" w:rsidRDefault="007E7953" w:rsidP="007E7953">
      <w:pPr>
        <w:rPr>
          <w:rFonts w:ascii="Calibri" w:hAnsi="Calibri" w:cs="Calibri"/>
          <w:sz w:val="24"/>
          <w:szCs w:val="24"/>
        </w:rPr>
      </w:pPr>
      <w:r w:rsidRPr="008914DF">
        <w:rPr>
          <w:rFonts w:ascii="Calibri" w:hAnsi="Calibri" w:cs="Calibri"/>
          <w:sz w:val="24"/>
          <w:szCs w:val="24"/>
        </w:rPr>
        <w:t>Current evidence suggests an inter-di</w:t>
      </w:r>
      <w:r w:rsidR="003F0D4C">
        <w:rPr>
          <w:rFonts w:ascii="Calibri" w:hAnsi="Calibri" w:cs="Calibri"/>
          <w:sz w:val="24"/>
          <w:szCs w:val="24"/>
        </w:rPr>
        <w:t>sciplinary approach promotes</w:t>
      </w:r>
      <w:r w:rsidRPr="008914DF">
        <w:rPr>
          <w:rFonts w:ascii="Calibri" w:hAnsi="Calibri" w:cs="Calibri"/>
          <w:sz w:val="24"/>
          <w:szCs w:val="24"/>
        </w:rPr>
        <w:t xml:space="preserve"> best</w:t>
      </w:r>
      <w:r w:rsidR="001D516A">
        <w:rPr>
          <w:rFonts w:ascii="Calibri" w:hAnsi="Calibri" w:cs="Calibri"/>
          <w:sz w:val="24"/>
          <w:szCs w:val="24"/>
        </w:rPr>
        <w:t xml:space="preserve"> clinical outcomes</w:t>
      </w:r>
      <w:r w:rsidRPr="008914DF">
        <w:rPr>
          <w:rFonts w:ascii="Calibri" w:hAnsi="Calibri" w:cs="Calibri"/>
          <w:sz w:val="24"/>
          <w:szCs w:val="24"/>
        </w:rPr>
        <w:t>. To facilitate excellence in inter-disciplinary care between osteopaths and other health p</w:t>
      </w:r>
      <w:r w:rsidR="001D516A">
        <w:rPr>
          <w:rFonts w:ascii="Calibri" w:hAnsi="Calibri" w:cs="Calibri"/>
          <w:sz w:val="24"/>
          <w:szCs w:val="24"/>
        </w:rPr>
        <w:t>rofessions, the development of this</w:t>
      </w:r>
      <w:r w:rsidRPr="008914DF">
        <w:rPr>
          <w:rFonts w:ascii="Calibri" w:hAnsi="Calibri" w:cs="Calibri"/>
          <w:sz w:val="24"/>
          <w:szCs w:val="24"/>
        </w:rPr>
        <w:t xml:space="preserve"> quality </w:t>
      </w:r>
      <w:r w:rsidR="001D516A">
        <w:rPr>
          <w:rFonts w:ascii="Calibri" w:hAnsi="Calibri" w:cs="Calibri"/>
          <w:sz w:val="24"/>
          <w:szCs w:val="24"/>
        </w:rPr>
        <w:t>practice framework</w:t>
      </w:r>
      <w:r w:rsidRPr="008914DF">
        <w:rPr>
          <w:rFonts w:ascii="Calibri" w:hAnsi="Calibri" w:cs="Calibri"/>
          <w:sz w:val="24"/>
          <w:szCs w:val="24"/>
        </w:rPr>
        <w:t xml:space="preserve"> is vital.</w:t>
      </w:r>
    </w:p>
    <w:p w14:paraId="083C5702" w14:textId="77777777" w:rsidR="007E7953" w:rsidRPr="008914DF" w:rsidRDefault="007E7953" w:rsidP="007E7953">
      <w:pPr>
        <w:rPr>
          <w:rFonts w:ascii="Calibri" w:hAnsi="Calibri" w:cs="Calibri"/>
          <w:sz w:val="24"/>
          <w:szCs w:val="24"/>
        </w:rPr>
      </w:pPr>
      <w:r w:rsidRPr="008914DF">
        <w:rPr>
          <w:rFonts w:ascii="Calibri" w:hAnsi="Calibri" w:cs="Calibri"/>
          <w:sz w:val="24"/>
          <w:szCs w:val="24"/>
        </w:rPr>
        <w:t xml:space="preserve">Designing Continuing Professional Development (CPD) pathways that promote key skills and competencies in specific areas of practice; and processes that recognise members with </w:t>
      </w:r>
      <w:r w:rsidR="00A8248B">
        <w:rPr>
          <w:rFonts w:ascii="Calibri" w:hAnsi="Calibri" w:cs="Calibri"/>
          <w:sz w:val="24"/>
          <w:szCs w:val="24"/>
        </w:rPr>
        <w:t xml:space="preserve">extended </w:t>
      </w:r>
      <w:r w:rsidR="00077556">
        <w:rPr>
          <w:rFonts w:ascii="Calibri" w:hAnsi="Calibri" w:cs="Calibri"/>
          <w:sz w:val="24"/>
          <w:szCs w:val="24"/>
        </w:rPr>
        <w:t>standing</w:t>
      </w:r>
      <w:r w:rsidRPr="008914DF">
        <w:rPr>
          <w:rFonts w:ascii="Calibri" w:hAnsi="Calibri" w:cs="Calibri"/>
          <w:sz w:val="24"/>
          <w:szCs w:val="24"/>
        </w:rPr>
        <w:t xml:space="preserve"> in areas of practice is a priority for Osteopathy Australia. This strategic focus will build on and complement Osteopathy Australia’s </w:t>
      </w:r>
      <w:r w:rsidRPr="008914DF">
        <w:rPr>
          <w:rFonts w:ascii="Calibri" w:hAnsi="Calibri" w:cs="Calibri"/>
          <w:i/>
          <w:sz w:val="24"/>
          <w:szCs w:val="24"/>
        </w:rPr>
        <w:t>Statement of Scope of Practice in Osteopathy</w:t>
      </w:r>
      <w:r w:rsidRPr="008914DF">
        <w:rPr>
          <w:rFonts w:ascii="Calibri" w:hAnsi="Calibri" w:cs="Calibri"/>
          <w:sz w:val="24"/>
          <w:szCs w:val="24"/>
        </w:rPr>
        <w:t>.</w:t>
      </w:r>
      <w:r w:rsidRPr="008914DF">
        <w:rPr>
          <w:rFonts w:ascii="Calibri" w:hAnsi="Calibri" w:cs="Calibri"/>
          <w:sz w:val="24"/>
          <w:szCs w:val="24"/>
          <w:vertAlign w:val="superscript"/>
        </w:rPr>
        <w:footnoteReference w:id="4"/>
      </w:r>
      <w:r w:rsidRPr="008914DF">
        <w:rPr>
          <w:rFonts w:ascii="Calibri" w:hAnsi="Calibri" w:cs="Calibri"/>
          <w:sz w:val="24"/>
          <w:szCs w:val="24"/>
        </w:rPr>
        <w:t xml:space="preserve"> </w:t>
      </w:r>
    </w:p>
    <w:p w14:paraId="0DE29390" w14:textId="77777777" w:rsidR="006D30B5" w:rsidRDefault="006D30B5" w:rsidP="006D30B5">
      <w:r>
        <w:rPr>
          <w:rFonts w:ascii="Calibri" w:hAnsi="Calibri" w:cs="Calibri"/>
          <w:sz w:val="24"/>
          <w:szCs w:val="24"/>
        </w:rPr>
        <w:t>This framework acknowledges that the knowledge, skills and scope of practice of osteopaths with a focus in occupational health vary depending on education, workplace requirements, clinical team requirements, and relevant industry policies. It is not intended to define all knowledge sets and skills possessed by these osteopaths</w:t>
      </w:r>
      <w:r>
        <w:t xml:space="preserve">, </w:t>
      </w:r>
      <w:r w:rsidRPr="00D041D0">
        <w:rPr>
          <w:sz w:val="24"/>
          <w:szCs w:val="24"/>
        </w:rPr>
        <w:t>nor all interventions these practitioners offer.</w:t>
      </w:r>
      <w:r w:rsidRPr="00D041D0">
        <w:t xml:space="preserve"> </w:t>
      </w:r>
    </w:p>
    <w:p w14:paraId="4843B8C1" w14:textId="77777777" w:rsidR="006D30B5" w:rsidRPr="00D041D0" w:rsidRDefault="006D30B5" w:rsidP="006D30B5">
      <w:pPr>
        <w:rPr>
          <w:sz w:val="24"/>
          <w:szCs w:val="24"/>
        </w:rPr>
      </w:pPr>
      <w:r w:rsidRPr="00D041D0">
        <w:rPr>
          <w:sz w:val="24"/>
          <w:szCs w:val="24"/>
        </w:rPr>
        <w:t xml:space="preserve">The framework relates to Osteopathy Australia’s </w:t>
      </w:r>
      <w:r>
        <w:rPr>
          <w:sz w:val="24"/>
          <w:szCs w:val="24"/>
        </w:rPr>
        <w:t>Occupational Health</w:t>
      </w:r>
      <w:r w:rsidRPr="00D041D0">
        <w:rPr>
          <w:sz w:val="24"/>
          <w:szCs w:val="24"/>
        </w:rPr>
        <w:t xml:space="preserve"> C</w:t>
      </w:r>
      <w:r>
        <w:rPr>
          <w:sz w:val="24"/>
          <w:szCs w:val="24"/>
        </w:rPr>
        <w:t>linical Practice Group (CPG). It outlines knowledge and skills that the organisation expects osteopaths seeking standing and recognition within this group to possess as a minimum requirement. This framework is not mandatory</w:t>
      </w:r>
      <w:r w:rsidR="00310077">
        <w:rPr>
          <w:sz w:val="24"/>
          <w:szCs w:val="24"/>
        </w:rPr>
        <w:t xml:space="preserve"> and pertains only to members of the CPG.</w:t>
      </w:r>
    </w:p>
    <w:p w14:paraId="69139BDA" w14:textId="77777777" w:rsidR="006D30B5" w:rsidRDefault="006D30B5" w:rsidP="007E7953">
      <w:pPr>
        <w:rPr>
          <w:sz w:val="24"/>
          <w:szCs w:val="24"/>
        </w:rPr>
      </w:pPr>
      <w:r w:rsidRPr="00D041D0">
        <w:rPr>
          <w:sz w:val="24"/>
          <w:szCs w:val="24"/>
        </w:rPr>
        <w:t>The framework has been informed by patient demand</w:t>
      </w:r>
      <w:r>
        <w:rPr>
          <w:sz w:val="24"/>
          <w:szCs w:val="24"/>
        </w:rPr>
        <w:t>, workforce planning needs</w:t>
      </w:r>
      <w:r w:rsidRPr="00D041D0">
        <w:rPr>
          <w:sz w:val="24"/>
          <w:szCs w:val="24"/>
        </w:rPr>
        <w:t>, targeted consultation with relevant industry stakeholders and the osteopathic profession. It is a living document and will be revised to align with developments in evidence-informed practice,</w:t>
      </w:r>
      <w:r>
        <w:rPr>
          <w:sz w:val="24"/>
          <w:szCs w:val="24"/>
        </w:rPr>
        <w:t xml:space="preserve"> patient need,</w:t>
      </w:r>
      <w:r w:rsidRPr="00D041D0">
        <w:rPr>
          <w:sz w:val="24"/>
          <w:szCs w:val="24"/>
        </w:rPr>
        <w:t xml:space="preserve"> clinical reasoning and standards,</w:t>
      </w:r>
      <w:r>
        <w:rPr>
          <w:sz w:val="24"/>
          <w:szCs w:val="24"/>
        </w:rPr>
        <w:t xml:space="preserve"> patient and workforce planning need</w:t>
      </w:r>
      <w:r w:rsidRPr="00D041D0">
        <w:rPr>
          <w:sz w:val="24"/>
          <w:szCs w:val="24"/>
        </w:rPr>
        <w:t xml:space="preserve">. </w:t>
      </w:r>
    </w:p>
    <w:p w14:paraId="304EEEEF" w14:textId="77777777" w:rsidR="007E7953" w:rsidRPr="00310077" w:rsidRDefault="007E7953" w:rsidP="007E7953">
      <w:pPr>
        <w:rPr>
          <w:rFonts w:ascii="Calibri" w:hAnsi="Calibri" w:cs="Calibri"/>
          <w:sz w:val="24"/>
          <w:szCs w:val="24"/>
        </w:rPr>
      </w:pPr>
      <w:r w:rsidRPr="002863BB">
        <w:rPr>
          <w:rFonts w:ascii="Calibri" w:hAnsi="Calibri" w:cs="Calibri"/>
          <w:sz w:val="24"/>
          <w:szCs w:val="24"/>
        </w:rPr>
        <w:lastRenderedPageBreak/>
        <w:t>Th</w:t>
      </w:r>
      <w:r w:rsidR="006D30B5">
        <w:rPr>
          <w:rFonts w:ascii="Calibri" w:hAnsi="Calibri" w:cs="Calibri"/>
          <w:sz w:val="24"/>
          <w:szCs w:val="24"/>
        </w:rPr>
        <w:t>e</w:t>
      </w:r>
      <w:r w:rsidRPr="002863BB">
        <w:rPr>
          <w:rFonts w:ascii="Calibri" w:hAnsi="Calibri" w:cs="Calibri"/>
          <w:sz w:val="24"/>
          <w:szCs w:val="24"/>
        </w:rPr>
        <w:t xml:space="preserve"> framework </w:t>
      </w:r>
      <w:r w:rsidR="003F0D4C">
        <w:rPr>
          <w:rFonts w:ascii="Calibri" w:hAnsi="Calibri" w:cs="Calibri"/>
          <w:sz w:val="24"/>
          <w:szCs w:val="24"/>
        </w:rPr>
        <w:t>recognises the role of</w:t>
      </w:r>
      <w:r w:rsidRPr="002863BB">
        <w:rPr>
          <w:rFonts w:ascii="Calibri" w:hAnsi="Calibri" w:cs="Calibri"/>
          <w:sz w:val="24"/>
          <w:szCs w:val="24"/>
        </w:rPr>
        <w:t xml:space="preserve"> interdiscipl</w:t>
      </w:r>
      <w:r w:rsidR="002863BB" w:rsidRPr="002863BB">
        <w:rPr>
          <w:rFonts w:ascii="Calibri" w:hAnsi="Calibri" w:cs="Calibri"/>
          <w:sz w:val="24"/>
          <w:szCs w:val="24"/>
        </w:rPr>
        <w:t xml:space="preserve">inary support in occupational </w:t>
      </w:r>
      <w:proofErr w:type="gramStart"/>
      <w:r w:rsidR="002863BB" w:rsidRPr="002863BB">
        <w:rPr>
          <w:rFonts w:ascii="Calibri" w:hAnsi="Calibri" w:cs="Calibri"/>
          <w:sz w:val="24"/>
          <w:szCs w:val="24"/>
        </w:rPr>
        <w:t>health</w:t>
      </w:r>
      <w:r w:rsidRPr="002863BB">
        <w:rPr>
          <w:rFonts w:ascii="Calibri" w:hAnsi="Calibri" w:cs="Calibri"/>
          <w:sz w:val="24"/>
          <w:szCs w:val="24"/>
        </w:rPr>
        <w:t>, and</w:t>
      </w:r>
      <w:proofErr w:type="gramEnd"/>
      <w:r w:rsidRPr="002863BB">
        <w:rPr>
          <w:rFonts w:ascii="Calibri" w:hAnsi="Calibri" w:cs="Calibri"/>
          <w:sz w:val="24"/>
          <w:szCs w:val="24"/>
        </w:rPr>
        <w:t xml:space="preserve"> acknowledges the</w:t>
      </w:r>
      <w:r w:rsidR="006A6B61">
        <w:rPr>
          <w:rFonts w:ascii="Calibri" w:hAnsi="Calibri" w:cs="Calibri"/>
          <w:sz w:val="24"/>
          <w:szCs w:val="24"/>
        </w:rPr>
        <w:t xml:space="preserve"> overlap of</w:t>
      </w:r>
      <w:r w:rsidRPr="002863BB">
        <w:rPr>
          <w:rFonts w:ascii="Calibri" w:hAnsi="Calibri" w:cs="Calibri"/>
          <w:sz w:val="24"/>
          <w:szCs w:val="24"/>
        </w:rPr>
        <w:t xml:space="preserve"> </w:t>
      </w:r>
      <w:r w:rsidR="003F0695">
        <w:rPr>
          <w:rFonts w:ascii="Calibri" w:hAnsi="Calibri" w:cs="Calibri"/>
          <w:sz w:val="24"/>
          <w:szCs w:val="24"/>
        </w:rPr>
        <w:t xml:space="preserve">many of the </w:t>
      </w:r>
      <w:r w:rsidRPr="002863BB">
        <w:rPr>
          <w:rFonts w:ascii="Calibri" w:hAnsi="Calibri" w:cs="Calibri"/>
          <w:sz w:val="24"/>
          <w:szCs w:val="24"/>
        </w:rPr>
        <w:t>competenc</w:t>
      </w:r>
      <w:r w:rsidR="00066AC8">
        <w:rPr>
          <w:rFonts w:ascii="Calibri" w:hAnsi="Calibri" w:cs="Calibri"/>
          <w:sz w:val="24"/>
          <w:szCs w:val="24"/>
        </w:rPr>
        <w:t>ies to multiple</w:t>
      </w:r>
      <w:r w:rsidR="006A6B61">
        <w:rPr>
          <w:rFonts w:ascii="Calibri" w:hAnsi="Calibri" w:cs="Calibri"/>
          <w:sz w:val="24"/>
          <w:szCs w:val="24"/>
        </w:rPr>
        <w:t xml:space="preserve"> professionals in occupational health</w:t>
      </w:r>
      <w:r w:rsidR="00066AC8">
        <w:rPr>
          <w:rFonts w:ascii="Calibri" w:hAnsi="Calibri" w:cs="Calibri"/>
          <w:sz w:val="24"/>
          <w:szCs w:val="24"/>
        </w:rPr>
        <w:t xml:space="preserve"> practice</w:t>
      </w:r>
      <w:r w:rsidR="006A6B61">
        <w:rPr>
          <w:rFonts w:ascii="Calibri" w:hAnsi="Calibri" w:cs="Calibri"/>
          <w:sz w:val="24"/>
          <w:szCs w:val="24"/>
        </w:rPr>
        <w:t>.</w:t>
      </w:r>
      <w:r w:rsidR="00066AC8">
        <w:rPr>
          <w:rFonts w:ascii="Calibri" w:hAnsi="Calibri" w:cs="Calibri"/>
          <w:sz w:val="24"/>
          <w:szCs w:val="24"/>
        </w:rPr>
        <w:t xml:space="preserve"> Scopes of practice in occupational health are not clearly defined and dimensions are shared across professions. </w:t>
      </w:r>
    </w:p>
    <w:p w14:paraId="5F312083" w14:textId="77777777" w:rsidR="00310077" w:rsidRDefault="00310077" w:rsidP="00081E30">
      <w:pPr>
        <w:pStyle w:val="Heading1"/>
      </w:pPr>
      <w:r>
        <w:t>Extended Practice Membership</w:t>
      </w:r>
    </w:p>
    <w:p w14:paraId="7AB92BAF" w14:textId="77777777" w:rsidR="00081E30" w:rsidRPr="00AA5573" w:rsidRDefault="00081E30" w:rsidP="00081E30"/>
    <w:p w14:paraId="2CCDE092" w14:textId="77777777" w:rsidR="00DB4FC6" w:rsidRPr="00081E30" w:rsidRDefault="006E04EC" w:rsidP="00081E30">
      <w:pPr>
        <w:rPr>
          <w:rStyle w:val="s1"/>
          <w:sz w:val="24"/>
          <w:szCs w:val="24"/>
        </w:rPr>
      </w:pPr>
      <w:r>
        <w:rPr>
          <w:sz w:val="24"/>
          <w:szCs w:val="24"/>
        </w:rPr>
        <w:t>Extended practice</w:t>
      </w:r>
      <w:r w:rsidR="00A954F0" w:rsidRPr="00A954F0">
        <w:rPr>
          <w:sz w:val="24"/>
          <w:szCs w:val="24"/>
        </w:rPr>
        <w:t xml:space="preserve"> members undertake a pathway of structured Continuing Professional Development to practice the osteopathic scope more fully, beyond entry or initial levels of practice undertaken in </w:t>
      </w:r>
      <w:r w:rsidR="00A954F0">
        <w:rPr>
          <w:sz w:val="24"/>
          <w:szCs w:val="24"/>
        </w:rPr>
        <w:t>clinical</w:t>
      </w:r>
      <w:r w:rsidR="00A954F0" w:rsidRPr="00A954F0">
        <w:rPr>
          <w:sz w:val="24"/>
          <w:szCs w:val="24"/>
        </w:rPr>
        <w:t xml:space="preserve"> management.</w:t>
      </w:r>
      <w:r w:rsidR="00A954F0" w:rsidRPr="00A954F0">
        <w:rPr>
          <w:sz w:val="24"/>
          <w:szCs w:val="24"/>
          <w:vertAlign w:val="superscript"/>
        </w:rPr>
        <w:endnoteReference w:id="1"/>
      </w:r>
      <w:r w:rsidR="00A954F0" w:rsidRPr="00A954F0">
        <w:rPr>
          <w:sz w:val="24"/>
          <w:szCs w:val="24"/>
        </w:rPr>
        <w:t xml:space="preserve"> These members demonstrate skills that enhance the delivery of </w:t>
      </w:r>
      <w:r w:rsidR="00A954F0">
        <w:rPr>
          <w:sz w:val="24"/>
          <w:szCs w:val="24"/>
        </w:rPr>
        <w:t>occupational injury management services</w:t>
      </w:r>
      <w:r w:rsidR="00A954F0" w:rsidRPr="00A954F0">
        <w:rPr>
          <w:sz w:val="24"/>
          <w:szCs w:val="24"/>
        </w:rPr>
        <w:t xml:space="preserve"> and encourage clinical quality in those services. They demonstrate application of a range of intermediary and complex clinical reasoning skillsets in the focus area. </w:t>
      </w:r>
    </w:p>
    <w:p w14:paraId="712D0E96" w14:textId="77777777" w:rsidR="00702DA7" w:rsidRDefault="00310077" w:rsidP="00702DA7">
      <w:pPr>
        <w:rPr>
          <w:sz w:val="24"/>
          <w:szCs w:val="24"/>
        </w:rPr>
      </w:pPr>
      <w:r w:rsidRPr="00310077">
        <w:rPr>
          <w:sz w:val="24"/>
          <w:szCs w:val="24"/>
        </w:rPr>
        <w:t>Osteopaths with extended practice recognition work toward full acquisition of the following clinical reasoning skillsets</w:t>
      </w:r>
      <w:r>
        <w:rPr>
          <w:sz w:val="24"/>
          <w:szCs w:val="24"/>
        </w:rPr>
        <w:t xml:space="preserve"> </w:t>
      </w:r>
      <w:r w:rsidR="00081E30" w:rsidRPr="00081E30">
        <w:rPr>
          <w:rStyle w:val="s1"/>
          <w:sz w:val="24"/>
          <w:szCs w:val="24"/>
        </w:rPr>
        <w:t>sets</w:t>
      </w:r>
      <w:r w:rsidR="00081E30">
        <w:rPr>
          <w:rStyle w:val="s1"/>
          <w:sz w:val="24"/>
          <w:szCs w:val="24"/>
        </w:rPr>
        <w:t xml:space="preserve"> in accordance with the </w:t>
      </w:r>
      <w:r w:rsidR="00A858C8">
        <w:rPr>
          <w:i/>
          <w:sz w:val="24"/>
          <w:szCs w:val="24"/>
        </w:rPr>
        <w:t xml:space="preserve">Clinical Framework for </w:t>
      </w:r>
      <w:r w:rsidR="006C5662">
        <w:rPr>
          <w:i/>
          <w:sz w:val="24"/>
          <w:szCs w:val="24"/>
        </w:rPr>
        <w:t>the Delivery of Health Services</w:t>
      </w:r>
      <w:r w:rsidR="006C5662">
        <w:rPr>
          <w:rStyle w:val="FootnoteReference"/>
          <w:i/>
          <w:sz w:val="24"/>
          <w:szCs w:val="24"/>
        </w:rPr>
        <w:footnoteReference w:id="5"/>
      </w:r>
      <w:r w:rsidR="006C5662">
        <w:rPr>
          <w:i/>
          <w:sz w:val="24"/>
          <w:szCs w:val="24"/>
        </w:rPr>
        <w:t xml:space="preserve"> </w:t>
      </w:r>
      <w:r w:rsidR="00394F21">
        <w:rPr>
          <w:sz w:val="24"/>
          <w:szCs w:val="24"/>
        </w:rPr>
        <w:t>which Osteopathy Australia has formally endorsed fro</w:t>
      </w:r>
      <w:r w:rsidR="00781177">
        <w:rPr>
          <w:sz w:val="24"/>
          <w:szCs w:val="24"/>
        </w:rPr>
        <w:t>m the outset of its development</w:t>
      </w:r>
      <w:r w:rsidR="00081E30">
        <w:rPr>
          <w:sz w:val="24"/>
          <w:szCs w:val="24"/>
        </w:rPr>
        <w:t>.</w:t>
      </w:r>
    </w:p>
    <w:p w14:paraId="6895909E" w14:textId="77777777" w:rsidR="006D68B3" w:rsidRDefault="008B5D01" w:rsidP="006D68B3">
      <w:pPr>
        <w:pStyle w:val="ListParagraph"/>
        <w:numPr>
          <w:ilvl w:val="1"/>
          <w:numId w:val="44"/>
        </w:numPr>
        <w:rPr>
          <w:sz w:val="24"/>
          <w:szCs w:val="24"/>
        </w:rPr>
      </w:pPr>
      <w:r>
        <w:rPr>
          <w:sz w:val="24"/>
          <w:szCs w:val="24"/>
        </w:rPr>
        <w:t>Knowledge of workers compensation injury management</w:t>
      </w:r>
      <w:r w:rsidR="00CE655F">
        <w:rPr>
          <w:sz w:val="24"/>
          <w:szCs w:val="24"/>
        </w:rPr>
        <w:t xml:space="preserve"> policies and guidelines; and the meaning of ‘reasonable and necessary’</w:t>
      </w:r>
      <w:r w:rsidR="006D68B3">
        <w:rPr>
          <w:sz w:val="24"/>
          <w:szCs w:val="24"/>
        </w:rPr>
        <w:t xml:space="preserve"> as applied within</w:t>
      </w:r>
      <w:r w:rsidR="00CE655F">
        <w:rPr>
          <w:sz w:val="24"/>
          <w:szCs w:val="24"/>
        </w:rPr>
        <w:t xml:space="preserve"> appropriate injury management and return to work planning in the state or territory of practice. </w:t>
      </w:r>
    </w:p>
    <w:p w14:paraId="4CD9EE9D" w14:textId="77777777" w:rsidR="006D68B3" w:rsidRDefault="006D68B3" w:rsidP="006D68B3">
      <w:pPr>
        <w:pStyle w:val="ListParagraph"/>
        <w:ind w:left="360"/>
        <w:rPr>
          <w:sz w:val="24"/>
          <w:szCs w:val="24"/>
        </w:rPr>
      </w:pPr>
    </w:p>
    <w:p w14:paraId="5FA3E87B" w14:textId="77777777" w:rsidR="006D68B3" w:rsidRPr="006D68B3" w:rsidRDefault="006D68B3" w:rsidP="006D68B3">
      <w:pPr>
        <w:pStyle w:val="ListParagraph"/>
        <w:numPr>
          <w:ilvl w:val="1"/>
          <w:numId w:val="44"/>
        </w:numPr>
        <w:rPr>
          <w:sz w:val="24"/>
          <w:szCs w:val="24"/>
        </w:rPr>
      </w:pPr>
      <w:r>
        <w:rPr>
          <w:sz w:val="24"/>
          <w:szCs w:val="24"/>
        </w:rPr>
        <w:t xml:space="preserve">Knowledge of approvals needing to be sought by osteopaths prior to and during compensable injury management; approvals processes; and third parties involved in approvals processes within the state or territory of practice. </w:t>
      </w:r>
    </w:p>
    <w:p w14:paraId="2E1AA2A8" w14:textId="77777777" w:rsidR="00A6784B" w:rsidRDefault="00A6784B" w:rsidP="00A6784B">
      <w:pPr>
        <w:pStyle w:val="ListParagraph"/>
        <w:ind w:left="360"/>
        <w:rPr>
          <w:sz w:val="24"/>
          <w:szCs w:val="24"/>
        </w:rPr>
      </w:pPr>
    </w:p>
    <w:p w14:paraId="4EDED70E" w14:textId="77777777" w:rsidR="009321C8" w:rsidRPr="009321C8" w:rsidRDefault="00A6784B" w:rsidP="009321C8">
      <w:pPr>
        <w:pStyle w:val="ListParagraph"/>
        <w:numPr>
          <w:ilvl w:val="1"/>
          <w:numId w:val="44"/>
        </w:numPr>
        <w:rPr>
          <w:sz w:val="24"/>
          <w:szCs w:val="24"/>
        </w:rPr>
      </w:pPr>
      <w:r>
        <w:rPr>
          <w:sz w:val="24"/>
          <w:szCs w:val="24"/>
        </w:rPr>
        <w:t>Knowledge of the definition and application of SMART (specific, measurable, achievable, realistic and time-limited) goals within the context of appropriate injury management and return to work planning in the</w:t>
      </w:r>
      <w:r w:rsidR="009321C8">
        <w:rPr>
          <w:sz w:val="24"/>
          <w:szCs w:val="24"/>
        </w:rPr>
        <w:t xml:space="preserve"> state or territory of practice.</w:t>
      </w:r>
    </w:p>
    <w:p w14:paraId="55ED0DA0" w14:textId="77777777" w:rsidR="009321C8" w:rsidRPr="009321C8" w:rsidRDefault="009321C8" w:rsidP="009321C8">
      <w:pPr>
        <w:pStyle w:val="ListParagraph"/>
        <w:ind w:left="360"/>
        <w:rPr>
          <w:sz w:val="24"/>
          <w:szCs w:val="24"/>
        </w:rPr>
      </w:pPr>
    </w:p>
    <w:p w14:paraId="02308F4A" w14:textId="77777777" w:rsidR="00A6784B" w:rsidRPr="009321C8" w:rsidRDefault="00A6784B" w:rsidP="00702DA7">
      <w:pPr>
        <w:pStyle w:val="ListParagraph"/>
        <w:numPr>
          <w:ilvl w:val="1"/>
          <w:numId w:val="44"/>
        </w:numPr>
        <w:rPr>
          <w:sz w:val="24"/>
          <w:szCs w:val="24"/>
        </w:rPr>
      </w:pPr>
      <w:r w:rsidRPr="009321C8">
        <w:rPr>
          <w:sz w:val="24"/>
          <w:szCs w:val="24"/>
        </w:rPr>
        <w:t>K</w:t>
      </w:r>
      <w:r w:rsidR="009321C8">
        <w:rPr>
          <w:sz w:val="24"/>
          <w:szCs w:val="24"/>
        </w:rPr>
        <w:t>nowledge of current evidence-</w:t>
      </w:r>
      <w:r w:rsidRPr="009321C8">
        <w:rPr>
          <w:sz w:val="24"/>
          <w:szCs w:val="24"/>
        </w:rPr>
        <w:t>informed</w:t>
      </w:r>
      <w:r w:rsidR="009321C8" w:rsidRPr="009321C8">
        <w:rPr>
          <w:sz w:val="24"/>
          <w:szCs w:val="24"/>
        </w:rPr>
        <w:t xml:space="preserve"> musculoskeletal</w:t>
      </w:r>
      <w:r w:rsidRPr="009321C8">
        <w:rPr>
          <w:sz w:val="24"/>
          <w:szCs w:val="24"/>
        </w:rPr>
        <w:t xml:space="preserve"> rehabi</w:t>
      </w:r>
      <w:r w:rsidR="009321C8" w:rsidRPr="009321C8">
        <w:rPr>
          <w:sz w:val="24"/>
          <w:szCs w:val="24"/>
        </w:rPr>
        <w:t xml:space="preserve">litation approaches for </w:t>
      </w:r>
      <w:r w:rsidRPr="009321C8">
        <w:rPr>
          <w:sz w:val="24"/>
          <w:szCs w:val="24"/>
        </w:rPr>
        <w:t>occupational injuries.</w:t>
      </w:r>
    </w:p>
    <w:p w14:paraId="1BF5CD65" w14:textId="77777777" w:rsidR="00702DA7" w:rsidRDefault="00702DA7" w:rsidP="00702DA7">
      <w:pPr>
        <w:pStyle w:val="ListParagraph"/>
        <w:ind w:left="360"/>
        <w:rPr>
          <w:sz w:val="24"/>
          <w:szCs w:val="24"/>
        </w:rPr>
      </w:pPr>
    </w:p>
    <w:p w14:paraId="3FD5686C" w14:textId="77777777" w:rsidR="006C5662" w:rsidRDefault="005326EA" w:rsidP="00781177">
      <w:pPr>
        <w:pStyle w:val="ListParagraph"/>
        <w:numPr>
          <w:ilvl w:val="1"/>
          <w:numId w:val="44"/>
        </w:numPr>
        <w:rPr>
          <w:sz w:val="24"/>
          <w:szCs w:val="24"/>
        </w:rPr>
      </w:pPr>
      <w:r w:rsidRPr="00781177">
        <w:rPr>
          <w:sz w:val="24"/>
          <w:szCs w:val="24"/>
        </w:rPr>
        <w:t>K</w:t>
      </w:r>
      <w:r w:rsidR="009F4C72">
        <w:rPr>
          <w:sz w:val="24"/>
          <w:szCs w:val="24"/>
        </w:rPr>
        <w:t>nowledge of</w:t>
      </w:r>
      <w:r w:rsidR="00133DDB" w:rsidRPr="00781177">
        <w:rPr>
          <w:sz w:val="24"/>
          <w:szCs w:val="24"/>
        </w:rPr>
        <w:t xml:space="preserve"> occupationally</w:t>
      </w:r>
      <w:r w:rsidR="001565DF" w:rsidRPr="00781177">
        <w:rPr>
          <w:sz w:val="24"/>
          <w:szCs w:val="24"/>
        </w:rPr>
        <w:t xml:space="preserve"> appropriate</w:t>
      </w:r>
      <w:r w:rsidR="00133DDB" w:rsidRPr="00781177">
        <w:rPr>
          <w:sz w:val="24"/>
          <w:szCs w:val="24"/>
        </w:rPr>
        <w:t xml:space="preserve"> standardised outcome measures</w:t>
      </w:r>
      <w:r w:rsidR="006D68B3">
        <w:rPr>
          <w:sz w:val="24"/>
          <w:szCs w:val="24"/>
        </w:rPr>
        <w:t xml:space="preserve"> as recommended within injury management and return to work planning in the state or territory of practice. </w:t>
      </w:r>
    </w:p>
    <w:p w14:paraId="7913C1B6" w14:textId="77777777" w:rsidR="00781177" w:rsidRDefault="00781177" w:rsidP="00781177">
      <w:pPr>
        <w:pStyle w:val="ListParagraph"/>
        <w:ind w:left="360"/>
        <w:rPr>
          <w:sz w:val="24"/>
          <w:szCs w:val="24"/>
        </w:rPr>
      </w:pPr>
    </w:p>
    <w:p w14:paraId="05FB5217" w14:textId="77777777" w:rsidR="00133DDB" w:rsidRDefault="005326EA" w:rsidP="00781177">
      <w:pPr>
        <w:pStyle w:val="ListParagraph"/>
        <w:numPr>
          <w:ilvl w:val="1"/>
          <w:numId w:val="44"/>
        </w:numPr>
        <w:rPr>
          <w:sz w:val="24"/>
          <w:szCs w:val="24"/>
        </w:rPr>
      </w:pPr>
      <w:r w:rsidRPr="00781177">
        <w:rPr>
          <w:sz w:val="24"/>
          <w:szCs w:val="24"/>
        </w:rPr>
        <w:t>K</w:t>
      </w:r>
      <w:r w:rsidR="00133DDB" w:rsidRPr="00781177">
        <w:rPr>
          <w:sz w:val="24"/>
          <w:szCs w:val="24"/>
        </w:rPr>
        <w:t>nowledge of ‘</w:t>
      </w:r>
      <w:r w:rsidR="001B6D2B" w:rsidRPr="00781177">
        <w:rPr>
          <w:sz w:val="24"/>
          <w:szCs w:val="24"/>
        </w:rPr>
        <w:t>blue,</w:t>
      </w:r>
      <w:r w:rsidR="00133DDB" w:rsidRPr="00781177">
        <w:rPr>
          <w:sz w:val="24"/>
          <w:szCs w:val="24"/>
        </w:rPr>
        <w:t xml:space="preserve"> black</w:t>
      </w:r>
      <w:r w:rsidR="001B6D2B" w:rsidRPr="00781177">
        <w:rPr>
          <w:sz w:val="24"/>
          <w:szCs w:val="24"/>
        </w:rPr>
        <w:t xml:space="preserve"> and yellow </w:t>
      </w:r>
      <w:r w:rsidR="00133DDB" w:rsidRPr="00781177">
        <w:rPr>
          <w:sz w:val="24"/>
          <w:szCs w:val="24"/>
        </w:rPr>
        <w:t>flag’</w:t>
      </w:r>
      <w:r w:rsidR="006D68B3">
        <w:rPr>
          <w:sz w:val="24"/>
          <w:szCs w:val="24"/>
        </w:rPr>
        <w:t xml:space="preserve"> (occupational, social and psychological)</w:t>
      </w:r>
      <w:r w:rsidR="00133DDB" w:rsidRPr="00781177">
        <w:rPr>
          <w:sz w:val="24"/>
          <w:szCs w:val="24"/>
        </w:rPr>
        <w:t xml:space="preserve"> </w:t>
      </w:r>
      <w:r w:rsidR="001565DF" w:rsidRPr="00781177">
        <w:rPr>
          <w:sz w:val="24"/>
          <w:szCs w:val="24"/>
        </w:rPr>
        <w:t>indicators that can impact return</w:t>
      </w:r>
      <w:r w:rsidR="006D68B3">
        <w:rPr>
          <w:sz w:val="24"/>
          <w:szCs w:val="24"/>
        </w:rPr>
        <w:t xml:space="preserve"> to work</w:t>
      </w:r>
      <w:r w:rsidR="001B6D2B" w:rsidRPr="00781177">
        <w:rPr>
          <w:sz w:val="24"/>
          <w:szCs w:val="24"/>
        </w:rPr>
        <w:t xml:space="preserve"> in clients</w:t>
      </w:r>
      <w:r w:rsidR="0025721B" w:rsidRPr="00781177">
        <w:rPr>
          <w:sz w:val="24"/>
          <w:szCs w:val="24"/>
        </w:rPr>
        <w:t>; associated</w:t>
      </w:r>
      <w:r w:rsidR="001B6D2B" w:rsidRPr="00781177">
        <w:rPr>
          <w:sz w:val="24"/>
          <w:szCs w:val="24"/>
        </w:rPr>
        <w:t xml:space="preserve"> management approaches and referral pathways.</w:t>
      </w:r>
    </w:p>
    <w:p w14:paraId="1588F049" w14:textId="77777777" w:rsidR="006D68B3" w:rsidRPr="006D68B3" w:rsidRDefault="006D68B3" w:rsidP="006D68B3">
      <w:pPr>
        <w:pStyle w:val="ListParagraph"/>
        <w:rPr>
          <w:sz w:val="24"/>
          <w:szCs w:val="24"/>
        </w:rPr>
      </w:pPr>
    </w:p>
    <w:p w14:paraId="4176CF46" w14:textId="77777777" w:rsidR="006D68B3" w:rsidRDefault="00594FC7" w:rsidP="00781177">
      <w:pPr>
        <w:pStyle w:val="ListParagraph"/>
        <w:numPr>
          <w:ilvl w:val="1"/>
          <w:numId w:val="44"/>
        </w:numPr>
        <w:rPr>
          <w:sz w:val="24"/>
          <w:szCs w:val="24"/>
        </w:rPr>
      </w:pPr>
      <w:r>
        <w:rPr>
          <w:sz w:val="24"/>
          <w:szCs w:val="24"/>
        </w:rPr>
        <w:t>Knowledge of approvals processes and protocols</w:t>
      </w:r>
      <w:r w:rsidR="006D68B3">
        <w:rPr>
          <w:sz w:val="24"/>
          <w:szCs w:val="24"/>
        </w:rPr>
        <w:t xml:space="preserve"> </w:t>
      </w:r>
      <w:r w:rsidR="00D46457">
        <w:rPr>
          <w:sz w:val="24"/>
          <w:szCs w:val="24"/>
        </w:rPr>
        <w:t>in</w:t>
      </w:r>
      <w:r>
        <w:rPr>
          <w:sz w:val="24"/>
          <w:szCs w:val="24"/>
        </w:rPr>
        <w:t xml:space="preserve"> the prescription</w:t>
      </w:r>
      <w:r w:rsidR="006D68B3">
        <w:rPr>
          <w:sz w:val="24"/>
          <w:szCs w:val="24"/>
        </w:rPr>
        <w:t xml:space="preserve"> of equipment for injury management and/or return to work planning</w:t>
      </w:r>
      <w:r>
        <w:rPr>
          <w:sz w:val="24"/>
          <w:szCs w:val="24"/>
        </w:rPr>
        <w:t xml:space="preserve"> by osteopaths in the state or territory of practice. </w:t>
      </w:r>
    </w:p>
    <w:p w14:paraId="05FA9776" w14:textId="77777777" w:rsidR="00594FC7" w:rsidRPr="00594FC7" w:rsidRDefault="00594FC7" w:rsidP="00594FC7">
      <w:pPr>
        <w:pStyle w:val="ListParagraph"/>
        <w:rPr>
          <w:sz w:val="24"/>
          <w:szCs w:val="24"/>
        </w:rPr>
      </w:pPr>
    </w:p>
    <w:p w14:paraId="799133F9" w14:textId="77777777" w:rsidR="00594FC7" w:rsidRDefault="00594FC7" w:rsidP="00781177">
      <w:pPr>
        <w:pStyle w:val="ListParagraph"/>
        <w:numPr>
          <w:ilvl w:val="1"/>
          <w:numId w:val="44"/>
        </w:numPr>
        <w:rPr>
          <w:sz w:val="24"/>
          <w:szCs w:val="24"/>
        </w:rPr>
      </w:pPr>
      <w:r>
        <w:rPr>
          <w:sz w:val="24"/>
          <w:szCs w:val="24"/>
        </w:rPr>
        <w:t xml:space="preserve">Knowledge of practitioner invoicing, billing and payment protocols and approvals processes in the state or territory of practice. </w:t>
      </w:r>
    </w:p>
    <w:p w14:paraId="5283DACE" w14:textId="77777777" w:rsidR="00594FC7" w:rsidRPr="00594FC7" w:rsidRDefault="00594FC7" w:rsidP="00594FC7">
      <w:pPr>
        <w:pStyle w:val="ListParagraph"/>
        <w:rPr>
          <w:sz w:val="24"/>
          <w:szCs w:val="24"/>
        </w:rPr>
      </w:pPr>
    </w:p>
    <w:p w14:paraId="276DFAB6" w14:textId="77777777" w:rsidR="00594FC7" w:rsidRPr="00781177" w:rsidRDefault="002C3BFB" w:rsidP="00D46457">
      <w:pPr>
        <w:pStyle w:val="ListParagraph"/>
        <w:numPr>
          <w:ilvl w:val="1"/>
          <w:numId w:val="44"/>
        </w:numPr>
        <w:tabs>
          <w:tab w:val="left" w:pos="426"/>
        </w:tabs>
        <w:rPr>
          <w:sz w:val="24"/>
          <w:szCs w:val="24"/>
        </w:rPr>
      </w:pPr>
      <w:r>
        <w:rPr>
          <w:sz w:val="24"/>
          <w:szCs w:val="24"/>
        </w:rPr>
        <w:t xml:space="preserve">Knowledge of role of occupational rehabilitation providers, specific services </w:t>
      </w:r>
      <w:r w:rsidR="00D46457">
        <w:rPr>
          <w:sz w:val="24"/>
          <w:szCs w:val="24"/>
        </w:rPr>
        <w:t>offered and</w:t>
      </w:r>
      <w:r>
        <w:rPr>
          <w:sz w:val="24"/>
          <w:szCs w:val="24"/>
        </w:rPr>
        <w:t xml:space="preserve"> their</w:t>
      </w:r>
      <w:r w:rsidR="00D46457">
        <w:rPr>
          <w:sz w:val="24"/>
          <w:szCs w:val="24"/>
        </w:rPr>
        <w:t xml:space="preserve"> application to workplace injury</w:t>
      </w:r>
      <w:r>
        <w:rPr>
          <w:sz w:val="24"/>
          <w:szCs w:val="24"/>
        </w:rPr>
        <w:t xml:space="preserve"> in the state or territory of practice.</w:t>
      </w:r>
    </w:p>
    <w:p w14:paraId="4137E4D8" w14:textId="77777777" w:rsidR="002636DB" w:rsidRDefault="00001DEB" w:rsidP="00001DEB">
      <w:pPr>
        <w:rPr>
          <w:sz w:val="24"/>
          <w:szCs w:val="24"/>
        </w:rPr>
      </w:pPr>
      <w:r>
        <w:rPr>
          <w:sz w:val="24"/>
          <w:szCs w:val="24"/>
        </w:rPr>
        <w:t xml:space="preserve">Additionally, </w:t>
      </w:r>
      <w:r w:rsidR="00C04B0E">
        <w:rPr>
          <w:sz w:val="24"/>
          <w:szCs w:val="24"/>
        </w:rPr>
        <w:t>Osteopathy Australia promotes</w:t>
      </w:r>
      <w:r w:rsidR="006E62B8">
        <w:rPr>
          <w:sz w:val="24"/>
          <w:szCs w:val="24"/>
        </w:rPr>
        <w:t xml:space="preserve"> the following</w:t>
      </w:r>
      <w:r w:rsidR="00666579">
        <w:rPr>
          <w:sz w:val="24"/>
          <w:szCs w:val="24"/>
        </w:rPr>
        <w:t xml:space="preserve"> extended</w:t>
      </w:r>
      <w:r w:rsidR="006E62B8">
        <w:rPr>
          <w:sz w:val="24"/>
          <w:szCs w:val="24"/>
        </w:rPr>
        <w:t xml:space="preserve"> </w:t>
      </w:r>
      <w:r w:rsidR="00081E30">
        <w:rPr>
          <w:sz w:val="24"/>
          <w:szCs w:val="24"/>
        </w:rPr>
        <w:t>clinical reasoning</w:t>
      </w:r>
      <w:r w:rsidR="006E62B8">
        <w:rPr>
          <w:sz w:val="24"/>
          <w:szCs w:val="24"/>
        </w:rPr>
        <w:t xml:space="preserve"> </w:t>
      </w:r>
      <w:r w:rsidR="00CB208E">
        <w:rPr>
          <w:sz w:val="24"/>
          <w:szCs w:val="24"/>
        </w:rPr>
        <w:t xml:space="preserve">to enhance </w:t>
      </w:r>
      <w:r w:rsidR="002636DB">
        <w:rPr>
          <w:sz w:val="24"/>
          <w:szCs w:val="24"/>
        </w:rPr>
        <w:t>inju</w:t>
      </w:r>
      <w:r w:rsidR="0003308B">
        <w:rPr>
          <w:sz w:val="24"/>
          <w:szCs w:val="24"/>
        </w:rPr>
        <w:t>ry management practice under this quality</w:t>
      </w:r>
      <w:r w:rsidR="002636DB">
        <w:rPr>
          <w:sz w:val="24"/>
          <w:szCs w:val="24"/>
        </w:rPr>
        <w:t xml:space="preserve"> framework</w:t>
      </w:r>
      <w:r w:rsidR="00081E30">
        <w:rPr>
          <w:sz w:val="24"/>
          <w:szCs w:val="24"/>
        </w:rPr>
        <w:t>:</w:t>
      </w:r>
    </w:p>
    <w:p w14:paraId="18530C4F" w14:textId="77777777" w:rsidR="00781177" w:rsidRDefault="00136DA5" w:rsidP="00781177">
      <w:pPr>
        <w:pStyle w:val="ListParagraph"/>
        <w:numPr>
          <w:ilvl w:val="1"/>
          <w:numId w:val="44"/>
        </w:numPr>
        <w:rPr>
          <w:sz w:val="24"/>
          <w:szCs w:val="24"/>
        </w:rPr>
      </w:pPr>
      <w:r w:rsidRPr="00781177">
        <w:rPr>
          <w:sz w:val="24"/>
          <w:szCs w:val="24"/>
        </w:rPr>
        <w:t>Knowledge of</w:t>
      </w:r>
      <w:r w:rsidR="00A32B04">
        <w:rPr>
          <w:sz w:val="24"/>
          <w:szCs w:val="24"/>
        </w:rPr>
        <w:t xml:space="preserve"> aims and principles</w:t>
      </w:r>
      <w:r w:rsidRPr="00781177">
        <w:rPr>
          <w:sz w:val="24"/>
          <w:szCs w:val="24"/>
        </w:rPr>
        <w:t xml:space="preserve"> in </w:t>
      </w:r>
      <w:r w:rsidR="002636DB" w:rsidRPr="00781177">
        <w:rPr>
          <w:sz w:val="24"/>
          <w:szCs w:val="24"/>
        </w:rPr>
        <w:t>physical ergonomics</w:t>
      </w:r>
      <w:r w:rsidR="00D07FE2" w:rsidRPr="00781177">
        <w:rPr>
          <w:sz w:val="24"/>
          <w:szCs w:val="24"/>
        </w:rPr>
        <w:t xml:space="preserve"> and physical ergonomics risk indicators</w:t>
      </w:r>
      <w:r w:rsidRPr="00781177">
        <w:rPr>
          <w:sz w:val="24"/>
          <w:szCs w:val="24"/>
        </w:rPr>
        <w:t>.</w:t>
      </w:r>
      <w:r w:rsidRPr="00C413BD">
        <w:rPr>
          <w:rStyle w:val="FootnoteReference"/>
          <w:sz w:val="24"/>
          <w:szCs w:val="24"/>
        </w:rPr>
        <w:footnoteReference w:id="6"/>
      </w:r>
    </w:p>
    <w:p w14:paraId="450C045F" w14:textId="77777777" w:rsidR="00781177" w:rsidRDefault="00781177" w:rsidP="00781177">
      <w:pPr>
        <w:pStyle w:val="ListParagraph"/>
        <w:ind w:left="360"/>
        <w:rPr>
          <w:sz w:val="24"/>
          <w:szCs w:val="24"/>
        </w:rPr>
      </w:pPr>
    </w:p>
    <w:p w14:paraId="791089E6" w14:textId="77777777" w:rsidR="0069137C" w:rsidRPr="0069137C" w:rsidRDefault="00D07FE2" w:rsidP="0069137C">
      <w:pPr>
        <w:pStyle w:val="ListParagraph"/>
        <w:numPr>
          <w:ilvl w:val="1"/>
          <w:numId w:val="44"/>
        </w:numPr>
        <w:rPr>
          <w:sz w:val="24"/>
          <w:szCs w:val="24"/>
        </w:rPr>
      </w:pPr>
      <w:r w:rsidRPr="00781177">
        <w:rPr>
          <w:sz w:val="24"/>
          <w:szCs w:val="24"/>
        </w:rPr>
        <w:t xml:space="preserve">Knowledge of </w:t>
      </w:r>
      <w:r w:rsidR="00A32B04">
        <w:rPr>
          <w:sz w:val="24"/>
          <w:szCs w:val="24"/>
        </w:rPr>
        <w:t xml:space="preserve">aims and </w:t>
      </w:r>
      <w:r w:rsidRPr="00781177">
        <w:rPr>
          <w:sz w:val="24"/>
          <w:szCs w:val="24"/>
        </w:rPr>
        <w:t>pri</w:t>
      </w:r>
      <w:r w:rsidR="00A32B04">
        <w:rPr>
          <w:sz w:val="24"/>
          <w:szCs w:val="24"/>
        </w:rPr>
        <w:t>nciples</w:t>
      </w:r>
      <w:r w:rsidRPr="00781177">
        <w:rPr>
          <w:sz w:val="24"/>
          <w:szCs w:val="24"/>
        </w:rPr>
        <w:t xml:space="preserve"> in </w:t>
      </w:r>
      <w:r w:rsidR="00D42A23" w:rsidRPr="00781177">
        <w:rPr>
          <w:sz w:val="24"/>
          <w:szCs w:val="24"/>
        </w:rPr>
        <w:t>workplace assessment, including</w:t>
      </w:r>
      <w:r w:rsidRPr="00781177">
        <w:rPr>
          <w:sz w:val="24"/>
          <w:szCs w:val="24"/>
        </w:rPr>
        <w:t xml:space="preserve"> physical indicators of risk in task analysis</w:t>
      </w:r>
      <w:r w:rsidR="000E10B5" w:rsidRPr="00781177">
        <w:rPr>
          <w:sz w:val="24"/>
          <w:szCs w:val="24"/>
        </w:rPr>
        <w:t xml:space="preserve"> for neuro-musculoskeletal occupational injuries</w:t>
      </w:r>
      <w:r w:rsidRPr="00781177">
        <w:rPr>
          <w:sz w:val="24"/>
          <w:szCs w:val="24"/>
        </w:rPr>
        <w:t>.</w:t>
      </w:r>
      <w:r>
        <w:rPr>
          <w:rStyle w:val="FootnoteReference"/>
          <w:sz w:val="24"/>
          <w:szCs w:val="24"/>
        </w:rPr>
        <w:footnoteReference w:id="7"/>
      </w:r>
    </w:p>
    <w:p w14:paraId="0A873126" w14:textId="77777777" w:rsidR="00F4237C" w:rsidRDefault="00F4237C" w:rsidP="00F4237C">
      <w:pPr>
        <w:pStyle w:val="Heading2"/>
        <w:rPr>
          <w:highlight w:val="yellow"/>
        </w:rPr>
      </w:pPr>
    </w:p>
    <w:p w14:paraId="7F752431" w14:textId="77777777" w:rsidR="00F4237C" w:rsidRPr="00F4237C" w:rsidRDefault="00F4237C" w:rsidP="00F4237C">
      <w:pPr>
        <w:pStyle w:val="Heading2"/>
      </w:pPr>
      <w:r w:rsidRPr="00F4237C">
        <w:t>Extended clinical reasoning in practice</w:t>
      </w:r>
    </w:p>
    <w:p w14:paraId="4BFA5E24" w14:textId="77777777" w:rsidR="00F4237C" w:rsidRDefault="00F4237C" w:rsidP="00F4237C">
      <w:pPr>
        <w:pStyle w:val="Heading2"/>
        <w:rPr>
          <w:highlight w:val="yellow"/>
        </w:rPr>
      </w:pPr>
    </w:p>
    <w:p w14:paraId="5EFA6C1C" w14:textId="77777777" w:rsidR="005F49F9" w:rsidRDefault="003401DB" w:rsidP="0069137C">
      <w:pPr>
        <w:rPr>
          <w:sz w:val="24"/>
          <w:szCs w:val="24"/>
        </w:rPr>
      </w:pPr>
      <w:r w:rsidRPr="005E5968">
        <w:rPr>
          <w:sz w:val="24"/>
          <w:szCs w:val="24"/>
        </w:rPr>
        <w:t>Extended practice members of the Occupational Health CPG participate in treating injured workers in the</w:t>
      </w:r>
      <w:r w:rsidR="00A51ECA" w:rsidRPr="005E5968">
        <w:rPr>
          <w:sz w:val="24"/>
          <w:szCs w:val="24"/>
        </w:rPr>
        <w:t xml:space="preserve"> compensable injury management scheme of their </w:t>
      </w:r>
      <w:r w:rsidRPr="005E5968">
        <w:rPr>
          <w:sz w:val="24"/>
          <w:szCs w:val="24"/>
        </w:rPr>
        <w:t>state or territory of practice</w:t>
      </w:r>
      <w:r w:rsidR="00DE33C8">
        <w:rPr>
          <w:sz w:val="24"/>
          <w:szCs w:val="24"/>
        </w:rPr>
        <w:t xml:space="preserve"> and/or </w:t>
      </w:r>
      <w:r w:rsidR="005F49F9">
        <w:rPr>
          <w:sz w:val="24"/>
          <w:szCs w:val="24"/>
        </w:rPr>
        <w:t>in</w:t>
      </w:r>
      <w:r w:rsidR="00DE33C8">
        <w:rPr>
          <w:sz w:val="24"/>
          <w:szCs w:val="24"/>
        </w:rPr>
        <w:t xml:space="preserve"> Commonwealth Comcare</w:t>
      </w:r>
      <w:r w:rsidRPr="005E5968">
        <w:rPr>
          <w:sz w:val="24"/>
          <w:szCs w:val="24"/>
        </w:rPr>
        <w:t xml:space="preserve">. </w:t>
      </w:r>
    </w:p>
    <w:p w14:paraId="481250A1" w14:textId="77777777" w:rsidR="00C53D68" w:rsidRDefault="009C7F80" w:rsidP="009C7F80">
      <w:pPr>
        <w:rPr>
          <w:sz w:val="24"/>
          <w:szCs w:val="24"/>
        </w:rPr>
      </w:pPr>
      <w:r w:rsidRPr="005E5968">
        <w:rPr>
          <w:sz w:val="24"/>
          <w:szCs w:val="24"/>
        </w:rPr>
        <w:t>Extended practice members comply with jurisdictional</w:t>
      </w:r>
      <w:r>
        <w:rPr>
          <w:sz w:val="24"/>
          <w:szCs w:val="24"/>
        </w:rPr>
        <w:t xml:space="preserve"> and</w:t>
      </w:r>
      <w:r w:rsidRPr="005E5968">
        <w:rPr>
          <w:sz w:val="24"/>
          <w:szCs w:val="24"/>
        </w:rPr>
        <w:t xml:space="preserve"> scheme processes and protocols of ‘reasonable and necessary’ return to work treatment. </w:t>
      </w:r>
      <w:r>
        <w:rPr>
          <w:sz w:val="24"/>
          <w:szCs w:val="24"/>
        </w:rPr>
        <w:t>They demonstrate an ability to differentiate and apply functional standardised outcome measures by occupation, role and workplace injury for periodic or ongoing</w:t>
      </w:r>
      <w:r w:rsidR="00C53D68">
        <w:rPr>
          <w:sz w:val="24"/>
          <w:szCs w:val="24"/>
        </w:rPr>
        <w:t xml:space="preserve"> client management</w:t>
      </w:r>
      <w:r>
        <w:rPr>
          <w:sz w:val="24"/>
          <w:szCs w:val="24"/>
        </w:rPr>
        <w:t>.</w:t>
      </w:r>
    </w:p>
    <w:p w14:paraId="01ABFDE5" w14:textId="77777777" w:rsidR="009C7F80" w:rsidRDefault="00C53D68" w:rsidP="0069137C">
      <w:pPr>
        <w:rPr>
          <w:sz w:val="24"/>
          <w:szCs w:val="24"/>
        </w:rPr>
      </w:pPr>
      <w:r>
        <w:rPr>
          <w:sz w:val="24"/>
          <w:szCs w:val="24"/>
        </w:rPr>
        <w:t>E</w:t>
      </w:r>
      <w:r w:rsidR="00F32264">
        <w:rPr>
          <w:sz w:val="24"/>
          <w:szCs w:val="24"/>
        </w:rPr>
        <w:t>xtended practice members demonstrate the ability to</w:t>
      </w:r>
      <w:r>
        <w:rPr>
          <w:sz w:val="24"/>
          <w:szCs w:val="24"/>
        </w:rPr>
        <w:t xml:space="preserve"> develop</w:t>
      </w:r>
      <w:r w:rsidR="00F32264">
        <w:rPr>
          <w:sz w:val="24"/>
          <w:szCs w:val="24"/>
        </w:rPr>
        <w:t xml:space="preserve"> </w:t>
      </w:r>
      <w:r w:rsidR="009C7F80" w:rsidRPr="00F32264">
        <w:rPr>
          <w:sz w:val="24"/>
          <w:szCs w:val="24"/>
        </w:rPr>
        <w:t xml:space="preserve">clear functional return to work </w:t>
      </w:r>
      <w:r>
        <w:rPr>
          <w:sz w:val="24"/>
          <w:szCs w:val="24"/>
        </w:rPr>
        <w:t>goals</w:t>
      </w:r>
      <w:r w:rsidR="009C7F80" w:rsidRPr="00F32264">
        <w:rPr>
          <w:sz w:val="24"/>
          <w:szCs w:val="24"/>
        </w:rPr>
        <w:t>, clear timelines and milestones for injury management linked to outcome assessments.</w:t>
      </w:r>
      <w:r w:rsidR="009C7F80">
        <w:rPr>
          <w:sz w:val="24"/>
          <w:szCs w:val="24"/>
        </w:rPr>
        <w:t xml:space="preserve"> Extended practice members exemplify that their client planning processes</w:t>
      </w:r>
      <w:r w:rsidR="009C7F80" w:rsidRPr="005E5968">
        <w:rPr>
          <w:sz w:val="24"/>
          <w:szCs w:val="24"/>
        </w:rPr>
        <w:t xml:space="preserve"> </w:t>
      </w:r>
      <w:r w:rsidR="009C7F80">
        <w:rPr>
          <w:sz w:val="24"/>
          <w:szCs w:val="24"/>
        </w:rPr>
        <w:t>incorporate</w:t>
      </w:r>
      <w:r w:rsidR="009C7F80" w:rsidRPr="005E5968">
        <w:rPr>
          <w:sz w:val="24"/>
          <w:szCs w:val="24"/>
        </w:rPr>
        <w:t xml:space="preserve"> prescription of recovery strategies</w:t>
      </w:r>
      <w:r w:rsidR="009C7F80">
        <w:rPr>
          <w:sz w:val="24"/>
          <w:szCs w:val="24"/>
        </w:rPr>
        <w:t>, including self-management approaches at home, work, equipment prescription and manual therapy,</w:t>
      </w:r>
      <w:r w:rsidR="009C7F80" w:rsidRPr="005E5968">
        <w:rPr>
          <w:sz w:val="24"/>
          <w:szCs w:val="24"/>
        </w:rPr>
        <w:t xml:space="preserve"> to return to work treatment goals</w:t>
      </w:r>
      <w:r w:rsidR="009C7F80">
        <w:rPr>
          <w:sz w:val="24"/>
          <w:szCs w:val="24"/>
        </w:rPr>
        <w:t xml:space="preserve">. </w:t>
      </w:r>
      <w:r w:rsidR="009C7F80" w:rsidRPr="00C53D68">
        <w:rPr>
          <w:sz w:val="24"/>
          <w:szCs w:val="24"/>
        </w:rPr>
        <w:t>These members can perform</w:t>
      </w:r>
      <w:r w:rsidR="009C7F80" w:rsidRPr="00C53D68">
        <w:rPr>
          <w:i/>
          <w:sz w:val="24"/>
          <w:szCs w:val="24"/>
        </w:rPr>
        <w:t xml:space="preserve"> </w:t>
      </w:r>
      <w:r w:rsidR="009C7F80" w:rsidRPr="00C53D68">
        <w:rPr>
          <w:sz w:val="24"/>
          <w:szCs w:val="24"/>
        </w:rPr>
        <w:t xml:space="preserve">assessments to identify risk of prolonged work absence </w:t>
      </w:r>
      <w:r w:rsidR="009C7F80" w:rsidRPr="00C53D68">
        <w:rPr>
          <w:sz w:val="24"/>
          <w:szCs w:val="24"/>
        </w:rPr>
        <w:lastRenderedPageBreak/>
        <w:t xml:space="preserve">and develop an appropriate referral plan and management strategies. They </w:t>
      </w:r>
      <w:r w:rsidRPr="00C53D68">
        <w:rPr>
          <w:sz w:val="24"/>
          <w:szCs w:val="24"/>
        </w:rPr>
        <w:t>can</w:t>
      </w:r>
      <w:r w:rsidR="009C7F80" w:rsidRPr="00C53D68">
        <w:rPr>
          <w:sz w:val="24"/>
          <w:szCs w:val="24"/>
        </w:rPr>
        <w:t xml:space="preserve"> differentiate recovery strategies by occupation and role in accordance with the evidence base, and review and revise treatment strategies to wherever possible expedite return to work.  </w:t>
      </w:r>
    </w:p>
    <w:p w14:paraId="3E37DFA8" w14:textId="77777777" w:rsidR="00AB5E33" w:rsidRDefault="00AB5E33" w:rsidP="0069137C">
      <w:pPr>
        <w:rPr>
          <w:sz w:val="24"/>
          <w:szCs w:val="24"/>
        </w:rPr>
      </w:pPr>
    </w:p>
    <w:p w14:paraId="008C02FC" w14:textId="77777777" w:rsidR="00081E30" w:rsidRPr="0057086D" w:rsidRDefault="006E04EC" w:rsidP="00081E30">
      <w:pPr>
        <w:pStyle w:val="Heading1"/>
      </w:pPr>
      <w:r>
        <w:t>Advanced Practice (Titled) Membership</w:t>
      </w:r>
      <w:r w:rsidR="00081E30" w:rsidRPr="0057086D">
        <w:t xml:space="preserve"> </w:t>
      </w:r>
    </w:p>
    <w:p w14:paraId="165B2496" w14:textId="77777777" w:rsidR="00081E30" w:rsidRDefault="00081E30" w:rsidP="00081E30"/>
    <w:p w14:paraId="41975A52" w14:textId="77777777" w:rsidR="00A954F0" w:rsidRDefault="006E04EC" w:rsidP="00081E30">
      <w:pPr>
        <w:rPr>
          <w:sz w:val="24"/>
          <w:szCs w:val="24"/>
        </w:rPr>
      </w:pPr>
      <w:r>
        <w:rPr>
          <w:sz w:val="24"/>
          <w:szCs w:val="24"/>
        </w:rPr>
        <w:t xml:space="preserve">Advanced practice members </w:t>
      </w:r>
      <w:r w:rsidR="00A954F0">
        <w:rPr>
          <w:sz w:val="24"/>
          <w:szCs w:val="24"/>
        </w:rPr>
        <w:t>demonstrate long-term commitment to sustained practice in occupational health. Through further higher education and quality clinical review, these members demonstrate ability to provide occupational health interventions that extend beyond the scope of osteopathic practice and are more broadly offered by other professions with a primary focus in occupational health.</w:t>
      </w:r>
      <w:r w:rsidR="00A954F0">
        <w:rPr>
          <w:rStyle w:val="EndnoteReference"/>
          <w:sz w:val="24"/>
          <w:szCs w:val="24"/>
        </w:rPr>
        <w:endnoteReference w:id="2"/>
      </w:r>
      <w:r w:rsidR="00A954F0">
        <w:rPr>
          <w:sz w:val="24"/>
          <w:szCs w:val="24"/>
        </w:rPr>
        <w:t xml:space="preserve"> </w:t>
      </w:r>
    </w:p>
    <w:p w14:paraId="6670DA3C" w14:textId="77777777" w:rsidR="00516C02" w:rsidRDefault="006E04EC" w:rsidP="00081E30">
      <w:pPr>
        <w:rPr>
          <w:rStyle w:val="s1"/>
          <w:sz w:val="24"/>
          <w:szCs w:val="24"/>
        </w:rPr>
      </w:pPr>
      <w:r>
        <w:rPr>
          <w:rStyle w:val="s1"/>
          <w:sz w:val="24"/>
          <w:szCs w:val="24"/>
        </w:rPr>
        <w:t xml:space="preserve">Advanced practice members </w:t>
      </w:r>
      <w:r w:rsidR="008E4576">
        <w:rPr>
          <w:rStyle w:val="s1"/>
          <w:sz w:val="24"/>
          <w:szCs w:val="24"/>
        </w:rPr>
        <w:t>hav</w:t>
      </w:r>
      <w:r>
        <w:rPr>
          <w:rStyle w:val="s1"/>
          <w:sz w:val="24"/>
          <w:szCs w:val="24"/>
        </w:rPr>
        <w:t>e</w:t>
      </w:r>
      <w:r w:rsidR="008E4576">
        <w:rPr>
          <w:rStyle w:val="s1"/>
          <w:sz w:val="24"/>
          <w:szCs w:val="24"/>
        </w:rPr>
        <w:t xml:space="preserve"> standing within one or more of the following occupational health practice domains. </w:t>
      </w:r>
    </w:p>
    <w:p w14:paraId="12711B3F" w14:textId="77777777" w:rsidR="00DE33C8" w:rsidRDefault="00DE33C8" w:rsidP="00081E30">
      <w:pPr>
        <w:rPr>
          <w:rStyle w:val="s1"/>
          <w:sz w:val="24"/>
          <w:szCs w:val="24"/>
        </w:rPr>
      </w:pPr>
    </w:p>
    <w:p w14:paraId="182F057F" w14:textId="77777777" w:rsidR="00CC4276" w:rsidRPr="008E4576" w:rsidRDefault="00066AC8" w:rsidP="008E4576">
      <w:pPr>
        <w:pStyle w:val="Heading2"/>
        <w:rPr>
          <w:sz w:val="24"/>
          <w:szCs w:val="24"/>
        </w:rPr>
      </w:pPr>
      <w:r>
        <w:t xml:space="preserve">Individual </w:t>
      </w:r>
      <w:r w:rsidR="00CC4276">
        <w:t>Worksite Injury Management Support</w:t>
      </w:r>
      <w:r>
        <w:t xml:space="preserve"> </w:t>
      </w:r>
    </w:p>
    <w:p w14:paraId="5EF2A929" w14:textId="77777777" w:rsidR="00066AC8" w:rsidRDefault="00066AC8" w:rsidP="00CC4276">
      <w:pPr>
        <w:rPr>
          <w:sz w:val="24"/>
          <w:szCs w:val="24"/>
        </w:rPr>
      </w:pPr>
    </w:p>
    <w:p w14:paraId="1E506370" w14:textId="77777777" w:rsidR="00474863" w:rsidRDefault="00474863" w:rsidP="00CC4276">
      <w:pPr>
        <w:rPr>
          <w:sz w:val="24"/>
          <w:szCs w:val="24"/>
        </w:rPr>
      </w:pPr>
      <w:r>
        <w:rPr>
          <w:sz w:val="24"/>
          <w:szCs w:val="24"/>
        </w:rPr>
        <w:t xml:space="preserve">Some </w:t>
      </w:r>
      <w:r w:rsidR="006E04EC">
        <w:rPr>
          <w:sz w:val="24"/>
          <w:szCs w:val="24"/>
        </w:rPr>
        <w:t xml:space="preserve">advanced practice </w:t>
      </w:r>
      <w:r>
        <w:rPr>
          <w:sz w:val="24"/>
          <w:szCs w:val="24"/>
        </w:rPr>
        <w:t>members focus upon worksite injury management assessments and support for workers</w:t>
      </w:r>
      <w:r w:rsidR="00987856">
        <w:rPr>
          <w:sz w:val="24"/>
          <w:szCs w:val="24"/>
        </w:rPr>
        <w:t xml:space="preserve">, whether within the context of </w:t>
      </w:r>
      <w:r w:rsidR="006E04EC">
        <w:rPr>
          <w:sz w:val="24"/>
          <w:szCs w:val="24"/>
        </w:rPr>
        <w:t>state or territory-based</w:t>
      </w:r>
      <w:r w:rsidR="00987856">
        <w:rPr>
          <w:sz w:val="24"/>
          <w:szCs w:val="24"/>
        </w:rPr>
        <w:t xml:space="preserve"> schemes or on</w:t>
      </w:r>
      <w:r w:rsidR="006F3FCD">
        <w:rPr>
          <w:sz w:val="24"/>
          <w:szCs w:val="24"/>
        </w:rPr>
        <w:t xml:space="preserve"> a private</w:t>
      </w:r>
      <w:r w:rsidR="00987856">
        <w:rPr>
          <w:sz w:val="24"/>
          <w:szCs w:val="24"/>
        </w:rPr>
        <w:t xml:space="preserve"> fee-for-service basis. </w:t>
      </w:r>
    </w:p>
    <w:p w14:paraId="0D03757D" w14:textId="77777777" w:rsidR="00BF4CD0" w:rsidRPr="00881D57" w:rsidRDefault="00631081" w:rsidP="00CC4276">
      <w:pPr>
        <w:rPr>
          <w:sz w:val="24"/>
          <w:szCs w:val="24"/>
        </w:rPr>
      </w:pPr>
      <w:r>
        <w:rPr>
          <w:sz w:val="24"/>
          <w:szCs w:val="24"/>
        </w:rPr>
        <w:t>Os</w:t>
      </w:r>
      <w:r w:rsidR="00FF495B">
        <w:rPr>
          <w:sz w:val="24"/>
          <w:szCs w:val="24"/>
        </w:rPr>
        <w:t>teopathy Australia</w:t>
      </w:r>
      <w:r w:rsidR="008E4576">
        <w:rPr>
          <w:sz w:val="24"/>
          <w:szCs w:val="24"/>
        </w:rPr>
        <w:t>’s position is that</w:t>
      </w:r>
      <w:r w:rsidR="00FF495B">
        <w:rPr>
          <w:sz w:val="24"/>
          <w:szCs w:val="24"/>
        </w:rPr>
        <w:t xml:space="preserve"> the </w:t>
      </w:r>
      <w:r w:rsidR="00AB6216">
        <w:rPr>
          <w:sz w:val="24"/>
          <w:szCs w:val="24"/>
        </w:rPr>
        <w:t xml:space="preserve">following </w:t>
      </w:r>
      <w:r w:rsidR="008E4576">
        <w:rPr>
          <w:sz w:val="24"/>
          <w:szCs w:val="24"/>
        </w:rPr>
        <w:t>clinical reasoning and skills</w:t>
      </w:r>
      <w:r w:rsidR="00AB6216">
        <w:rPr>
          <w:sz w:val="24"/>
          <w:szCs w:val="24"/>
        </w:rPr>
        <w:t xml:space="preserve"> are</w:t>
      </w:r>
      <w:r w:rsidR="00A32B04">
        <w:rPr>
          <w:sz w:val="24"/>
          <w:szCs w:val="24"/>
        </w:rPr>
        <w:t xml:space="preserve"> required</w:t>
      </w:r>
      <w:r w:rsidR="00AB6216">
        <w:rPr>
          <w:sz w:val="24"/>
          <w:szCs w:val="24"/>
        </w:rPr>
        <w:t xml:space="preserve"> </w:t>
      </w:r>
      <w:r w:rsidR="00657CEB">
        <w:rPr>
          <w:sz w:val="24"/>
          <w:szCs w:val="24"/>
        </w:rPr>
        <w:t>in</w:t>
      </w:r>
      <w:r w:rsidR="00AB6216">
        <w:rPr>
          <w:sz w:val="24"/>
          <w:szCs w:val="24"/>
        </w:rPr>
        <w:t xml:space="preserve"> </w:t>
      </w:r>
      <w:r w:rsidR="00FF495B">
        <w:rPr>
          <w:sz w:val="24"/>
          <w:szCs w:val="24"/>
        </w:rPr>
        <w:t>quality</w:t>
      </w:r>
      <w:r w:rsidR="007C0AA5">
        <w:rPr>
          <w:sz w:val="24"/>
          <w:szCs w:val="24"/>
        </w:rPr>
        <w:t xml:space="preserve"> activity assessment</w:t>
      </w:r>
      <w:r w:rsidR="00AB6216">
        <w:rPr>
          <w:sz w:val="24"/>
          <w:szCs w:val="24"/>
        </w:rPr>
        <w:t>s</w:t>
      </w:r>
      <w:r w:rsidR="008F6EEE">
        <w:rPr>
          <w:sz w:val="24"/>
          <w:szCs w:val="24"/>
        </w:rPr>
        <w:t xml:space="preserve"> for injured clients</w:t>
      </w:r>
      <w:r w:rsidR="006E04EC">
        <w:rPr>
          <w:sz w:val="24"/>
          <w:szCs w:val="24"/>
        </w:rPr>
        <w:t xml:space="preserve"> undertaken by advanced practice members</w:t>
      </w:r>
      <w:r w:rsidR="003B1129">
        <w:rPr>
          <w:sz w:val="24"/>
          <w:szCs w:val="24"/>
        </w:rPr>
        <w:t>.</w:t>
      </w:r>
      <w:r w:rsidR="00E5138D">
        <w:rPr>
          <w:sz w:val="24"/>
          <w:szCs w:val="24"/>
        </w:rPr>
        <w:t xml:space="preserve"> These competencies</w:t>
      </w:r>
      <w:r w:rsidR="00A32B04">
        <w:rPr>
          <w:sz w:val="24"/>
          <w:szCs w:val="24"/>
        </w:rPr>
        <w:t xml:space="preserve"> align with</w:t>
      </w:r>
      <w:r w:rsidR="00806742">
        <w:rPr>
          <w:sz w:val="24"/>
          <w:szCs w:val="24"/>
        </w:rPr>
        <w:t xml:space="preserve"> industry standards promoted by the Human Factors and Ergonomics Society of Australia’s </w:t>
      </w:r>
      <w:r w:rsidR="00881D57">
        <w:rPr>
          <w:i/>
          <w:sz w:val="24"/>
          <w:szCs w:val="24"/>
        </w:rPr>
        <w:t>Competency Standards for Ergonomists</w:t>
      </w:r>
      <w:r w:rsidR="00881D57" w:rsidRPr="00881D57">
        <w:rPr>
          <w:rStyle w:val="FootnoteReference"/>
          <w:sz w:val="24"/>
          <w:szCs w:val="24"/>
        </w:rPr>
        <w:footnoteReference w:id="8"/>
      </w:r>
      <w:r w:rsidR="00881D57" w:rsidRPr="00881D57">
        <w:rPr>
          <w:sz w:val="24"/>
          <w:szCs w:val="24"/>
        </w:rPr>
        <w:t xml:space="preserve"> </w:t>
      </w:r>
      <w:r w:rsidR="00881D57">
        <w:rPr>
          <w:sz w:val="24"/>
          <w:szCs w:val="24"/>
        </w:rPr>
        <w:t xml:space="preserve">and its </w:t>
      </w:r>
      <w:r w:rsidR="00881D57">
        <w:rPr>
          <w:i/>
          <w:sz w:val="24"/>
          <w:szCs w:val="24"/>
        </w:rPr>
        <w:t>Ergonomics Guideline</w:t>
      </w:r>
      <w:r w:rsidR="008E4576">
        <w:rPr>
          <w:i/>
          <w:sz w:val="24"/>
          <w:szCs w:val="24"/>
        </w:rPr>
        <w:t>s</w:t>
      </w:r>
      <w:r w:rsidR="00881D57">
        <w:rPr>
          <w:sz w:val="24"/>
          <w:szCs w:val="24"/>
        </w:rPr>
        <w:t>.</w:t>
      </w:r>
      <w:r w:rsidR="00881D57">
        <w:rPr>
          <w:rStyle w:val="FootnoteReference"/>
          <w:sz w:val="24"/>
          <w:szCs w:val="24"/>
        </w:rPr>
        <w:footnoteReference w:id="9"/>
      </w:r>
    </w:p>
    <w:p w14:paraId="58BEFFEB" w14:textId="77777777" w:rsidR="00E75616" w:rsidRDefault="008E4576" w:rsidP="00CC4276">
      <w:pPr>
        <w:rPr>
          <w:b/>
          <w:sz w:val="24"/>
          <w:szCs w:val="24"/>
        </w:rPr>
      </w:pPr>
      <w:r>
        <w:rPr>
          <w:b/>
          <w:sz w:val="24"/>
          <w:szCs w:val="24"/>
        </w:rPr>
        <w:t>P</w:t>
      </w:r>
      <w:r w:rsidR="0040111E">
        <w:rPr>
          <w:b/>
          <w:sz w:val="24"/>
          <w:szCs w:val="24"/>
        </w:rPr>
        <w:t>hysical ergonomics</w:t>
      </w:r>
      <w:r w:rsidR="000A418D">
        <w:rPr>
          <w:b/>
          <w:sz w:val="24"/>
          <w:szCs w:val="24"/>
        </w:rPr>
        <w:t xml:space="preserve"> </w:t>
      </w:r>
    </w:p>
    <w:p w14:paraId="326CCD76" w14:textId="77777777" w:rsidR="0040111E" w:rsidRDefault="009D4467" w:rsidP="00CC4276">
      <w:pPr>
        <w:rPr>
          <w:sz w:val="24"/>
          <w:szCs w:val="24"/>
        </w:rPr>
      </w:pPr>
      <w:r>
        <w:rPr>
          <w:sz w:val="24"/>
          <w:szCs w:val="24"/>
        </w:rPr>
        <w:t>In additi</w:t>
      </w:r>
      <w:r w:rsidR="004759E1">
        <w:rPr>
          <w:sz w:val="24"/>
          <w:szCs w:val="24"/>
        </w:rPr>
        <w:t>on to</w:t>
      </w:r>
      <w:r>
        <w:rPr>
          <w:sz w:val="24"/>
          <w:szCs w:val="24"/>
        </w:rPr>
        <w:t xml:space="preserve"> knowledge of principles of excellence in physical ergonomics and associated risk indic</w:t>
      </w:r>
      <w:r w:rsidR="004759E1">
        <w:rPr>
          <w:sz w:val="24"/>
          <w:szCs w:val="24"/>
        </w:rPr>
        <w:t>ators,</w:t>
      </w:r>
      <w:r w:rsidR="008F1619">
        <w:rPr>
          <w:sz w:val="24"/>
          <w:szCs w:val="24"/>
        </w:rPr>
        <w:t xml:space="preserve"> </w:t>
      </w:r>
      <w:r w:rsidR="008E4576">
        <w:rPr>
          <w:sz w:val="24"/>
          <w:szCs w:val="24"/>
        </w:rPr>
        <w:t>osteopaths with standing at the</w:t>
      </w:r>
      <w:r w:rsidR="006E04EC">
        <w:rPr>
          <w:sz w:val="24"/>
          <w:szCs w:val="24"/>
        </w:rPr>
        <w:t xml:space="preserve"> advanced (titled)</w:t>
      </w:r>
      <w:r w:rsidR="008E4576">
        <w:rPr>
          <w:sz w:val="24"/>
          <w:szCs w:val="24"/>
        </w:rPr>
        <w:t xml:space="preserve"> level for worksite injury management </w:t>
      </w:r>
      <w:r w:rsidR="00474863">
        <w:rPr>
          <w:sz w:val="24"/>
          <w:szCs w:val="24"/>
        </w:rPr>
        <w:t xml:space="preserve">will </w:t>
      </w:r>
      <w:r w:rsidR="008E4576">
        <w:rPr>
          <w:sz w:val="24"/>
          <w:szCs w:val="24"/>
        </w:rPr>
        <w:t>possess</w:t>
      </w:r>
      <w:r>
        <w:rPr>
          <w:sz w:val="24"/>
          <w:szCs w:val="24"/>
        </w:rPr>
        <w:t>:</w:t>
      </w:r>
    </w:p>
    <w:p w14:paraId="131301B6" w14:textId="77777777" w:rsidR="00992C6C" w:rsidRDefault="009F4C72" w:rsidP="00AB6216">
      <w:pPr>
        <w:pStyle w:val="ListParagraph"/>
        <w:numPr>
          <w:ilvl w:val="1"/>
          <w:numId w:val="45"/>
        </w:numPr>
        <w:rPr>
          <w:sz w:val="24"/>
          <w:szCs w:val="24"/>
        </w:rPr>
      </w:pPr>
      <w:r>
        <w:rPr>
          <w:sz w:val="24"/>
          <w:szCs w:val="24"/>
        </w:rPr>
        <w:t>K</w:t>
      </w:r>
      <w:r w:rsidR="00992C6C" w:rsidRPr="00AB6216">
        <w:rPr>
          <w:sz w:val="24"/>
          <w:szCs w:val="24"/>
        </w:rPr>
        <w:t>nowledge of physical ergonomics</w:t>
      </w:r>
      <w:r w:rsidR="00865EBA" w:rsidRPr="00AB6216">
        <w:rPr>
          <w:sz w:val="24"/>
          <w:szCs w:val="24"/>
        </w:rPr>
        <w:t xml:space="preserve"> assessme</w:t>
      </w:r>
      <w:r w:rsidR="0034445B" w:rsidRPr="00AB6216">
        <w:rPr>
          <w:sz w:val="24"/>
          <w:szCs w:val="24"/>
        </w:rPr>
        <w:t>nt frameworks</w:t>
      </w:r>
      <w:r w:rsidR="004759E1" w:rsidRPr="00AB6216">
        <w:rPr>
          <w:sz w:val="24"/>
          <w:szCs w:val="24"/>
        </w:rPr>
        <w:t xml:space="preserve"> and tools</w:t>
      </w:r>
      <w:r w:rsidR="00865EBA" w:rsidRPr="00AB6216">
        <w:rPr>
          <w:sz w:val="24"/>
          <w:szCs w:val="24"/>
        </w:rPr>
        <w:t xml:space="preserve"> as relevan</w:t>
      </w:r>
      <w:r w:rsidR="00A32B04">
        <w:rPr>
          <w:sz w:val="24"/>
          <w:szCs w:val="24"/>
        </w:rPr>
        <w:t>t to</w:t>
      </w:r>
      <w:r w:rsidR="00865EBA" w:rsidRPr="00AB6216">
        <w:rPr>
          <w:sz w:val="24"/>
          <w:szCs w:val="24"/>
        </w:rPr>
        <w:t xml:space="preserve"> </w:t>
      </w:r>
      <w:r w:rsidR="00E96568" w:rsidRPr="00AB6216">
        <w:rPr>
          <w:sz w:val="24"/>
          <w:szCs w:val="24"/>
        </w:rPr>
        <w:t>professional</w:t>
      </w:r>
      <w:r w:rsidR="003C44CD">
        <w:rPr>
          <w:sz w:val="24"/>
          <w:szCs w:val="24"/>
        </w:rPr>
        <w:t>, manual and industrial</w:t>
      </w:r>
      <w:r w:rsidR="00992C6C" w:rsidRPr="00AB6216">
        <w:rPr>
          <w:sz w:val="24"/>
          <w:szCs w:val="24"/>
        </w:rPr>
        <w:t xml:space="preserve"> </w:t>
      </w:r>
      <w:r w:rsidR="00E96568" w:rsidRPr="00AB6216">
        <w:rPr>
          <w:sz w:val="24"/>
          <w:szCs w:val="24"/>
        </w:rPr>
        <w:t>work environments</w:t>
      </w:r>
      <w:r w:rsidR="000A418D">
        <w:rPr>
          <w:sz w:val="24"/>
          <w:szCs w:val="24"/>
        </w:rPr>
        <w:t>.</w:t>
      </w:r>
      <w:r w:rsidR="002B2804">
        <w:rPr>
          <w:sz w:val="24"/>
          <w:szCs w:val="24"/>
        </w:rPr>
        <w:t xml:space="preserve"> </w:t>
      </w:r>
    </w:p>
    <w:p w14:paraId="5B354E6D" w14:textId="77777777" w:rsidR="00AB6216" w:rsidRDefault="00AB6216" w:rsidP="00AB6216">
      <w:pPr>
        <w:pStyle w:val="ListParagraph"/>
        <w:ind w:left="360"/>
        <w:rPr>
          <w:sz w:val="24"/>
          <w:szCs w:val="24"/>
        </w:rPr>
      </w:pPr>
    </w:p>
    <w:p w14:paraId="270E84FD" w14:textId="77777777" w:rsidR="00FF495B" w:rsidRDefault="009F4C72" w:rsidP="00A32B04">
      <w:pPr>
        <w:pStyle w:val="ListParagraph"/>
        <w:numPr>
          <w:ilvl w:val="1"/>
          <w:numId w:val="45"/>
        </w:numPr>
        <w:rPr>
          <w:sz w:val="24"/>
          <w:szCs w:val="24"/>
        </w:rPr>
      </w:pPr>
      <w:r>
        <w:rPr>
          <w:sz w:val="24"/>
          <w:szCs w:val="24"/>
        </w:rPr>
        <w:lastRenderedPageBreak/>
        <w:t xml:space="preserve">Knowledge of </w:t>
      </w:r>
      <w:r w:rsidR="00992C6C" w:rsidRPr="00AB6216">
        <w:rPr>
          <w:sz w:val="24"/>
          <w:szCs w:val="24"/>
        </w:rPr>
        <w:t>assessment frameworks and</w:t>
      </w:r>
      <w:r w:rsidR="00F7570A" w:rsidRPr="00AB6216">
        <w:rPr>
          <w:sz w:val="24"/>
          <w:szCs w:val="24"/>
        </w:rPr>
        <w:t xml:space="preserve"> tools for </w:t>
      </w:r>
      <w:r w:rsidR="00865EBA" w:rsidRPr="00AB6216">
        <w:rPr>
          <w:sz w:val="24"/>
          <w:szCs w:val="24"/>
        </w:rPr>
        <w:t>planning</w:t>
      </w:r>
      <w:r w:rsidR="0034445B" w:rsidRPr="00AB6216">
        <w:rPr>
          <w:sz w:val="24"/>
          <w:szCs w:val="24"/>
        </w:rPr>
        <w:t xml:space="preserve"> and/or redesign </w:t>
      </w:r>
      <w:r w:rsidR="00E96568" w:rsidRPr="00AB6216">
        <w:rPr>
          <w:sz w:val="24"/>
          <w:szCs w:val="24"/>
        </w:rPr>
        <w:t xml:space="preserve">of the work environment </w:t>
      </w:r>
      <w:r w:rsidR="0034445B" w:rsidRPr="00AB6216">
        <w:rPr>
          <w:sz w:val="24"/>
          <w:szCs w:val="24"/>
        </w:rPr>
        <w:t>to enable participation of an injured worker</w:t>
      </w:r>
      <w:r w:rsidR="000A418D">
        <w:rPr>
          <w:sz w:val="24"/>
          <w:szCs w:val="24"/>
        </w:rPr>
        <w:t>.</w:t>
      </w:r>
    </w:p>
    <w:p w14:paraId="7310AC22" w14:textId="77777777" w:rsidR="00AD24AA" w:rsidRPr="00AD24AA" w:rsidRDefault="00AD24AA" w:rsidP="00AD24AA">
      <w:pPr>
        <w:pStyle w:val="ListParagraph"/>
        <w:rPr>
          <w:sz w:val="24"/>
          <w:szCs w:val="24"/>
        </w:rPr>
      </w:pPr>
    </w:p>
    <w:p w14:paraId="61A88677" w14:textId="77777777" w:rsidR="00AD24AA" w:rsidRPr="00AD24AA" w:rsidRDefault="00AD24AA" w:rsidP="00AD24AA">
      <w:pPr>
        <w:pStyle w:val="ListParagraph"/>
        <w:numPr>
          <w:ilvl w:val="1"/>
          <w:numId w:val="45"/>
        </w:numPr>
        <w:rPr>
          <w:sz w:val="24"/>
          <w:szCs w:val="24"/>
        </w:rPr>
      </w:pPr>
      <w:r w:rsidRPr="00AD24AA">
        <w:rPr>
          <w:sz w:val="24"/>
          <w:szCs w:val="24"/>
        </w:rPr>
        <w:t xml:space="preserve">Knowledge of principles in </w:t>
      </w:r>
      <w:r>
        <w:rPr>
          <w:sz w:val="24"/>
          <w:szCs w:val="24"/>
        </w:rPr>
        <w:t>the development of physical ergonomics</w:t>
      </w:r>
      <w:r w:rsidRPr="00AD24AA">
        <w:rPr>
          <w:sz w:val="24"/>
          <w:szCs w:val="24"/>
        </w:rPr>
        <w:t xml:space="preserve"> reports for effective workplace implementation</w:t>
      </w:r>
      <w:r w:rsidR="004543C6">
        <w:rPr>
          <w:sz w:val="24"/>
          <w:szCs w:val="24"/>
        </w:rPr>
        <w:t xml:space="preserve"> in the interests of an injured worker</w:t>
      </w:r>
      <w:r w:rsidRPr="00AD24AA">
        <w:rPr>
          <w:sz w:val="24"/>
          <w:szCs w:val="24"/>
        </w:rPr>
        <w:t>.</w:t>
      </w:r>
    </w:p>
    <w:p w14:paraId="193B75A6" w14:textId="77777777" w:rsidR="00A32B04" w:rsidRPr="00A32B04" w:rsidRDefault="00A32B04" w:rsidP="00A32B04">
      <w:pPr>
        <w:pStyle w:val="ListParagraph"/>
        <w:rPr>
          <w:sz w:val="24"/>
          <w:szCs w:val="24"/>
        </w:rPr>
      </w:pPr>
    </w:p>
    <w:p w14:paraId="191D22CB" w14:textId="77777777" w:rsidR="00A32B04" w:rsidRPr="00280284" w:rsidRDefault="00A32B04" w:rsidP="00CC4276">
      <w:pPr>
        <w:pStyle w:val="ListParagraph"/>
        <w:numPr>
          <w:ilvl w:val="1"/>
          <w:numId w:val="45"/>
        </w:numPr>
        <w:rPr>
          <w:sz w:val="24"/>
          <w:szCs w:val="24"/>
        </w:rPr>
      </w:pPr>
      <w:r>
        <w:rPr>
          <w:sz w:val="24"/>
          <w:szCs w:val="24"/>
        </w:rPr>
        <w:t xml:space="preserve">Knowledge of </w:t>
      </w:r>
      <w:r w:rsidR="00280284">
        <w:rPr>
          <w:sz w:val="24"/>
          <w:szCs w:val="24"/>
        </w:rPr>
        <w:t>principles</w:t>
      </w:r>
      <w:r w:rsidR="00A44A88">
        <w:rPr>
          <w:sz w:val="24"/>
          <w:szCs w:val="24"/>
        </w:rPr>
        <w:t xml:space="preserve"> </w:t>
      </w:r>
      <w:r w:rsidR="00280284">
        <w:rPr>
          <w:sz w:val="24"/>
          <w:szCs w:val="24"/>
        </w:rPr>
        <w:t>in best practice workplace stakeh</w:t>
      </w:r>
      <w:r w:rsidR="00882BD9">
        <w:rPr>
          <w:sz w:val="24"/>
          <w:szCs w:val="24"/>
        </w:rPr>
        <w:t xml:space="preserve">older engagement and education for physical ergonomics recommendations. </w:t>
      </w:r>
    </w:p>
    <w:p w14:paraId="0DCC9626" w14:textId="77777777" w:rsidR="0040111E" w:rsidRPr="00E75616" w:rsidRDefault="008E4576" w:rsidP="00CC4276">
      <w:pPr>
        <w:rPr>
          <w:b/>
          <w:sz w:val="24"/>
          <w:szCs w:val="24"/>
        </w:rPr>
      </w:pPr>
      <w:r>
        <w:rPr>
          <w:b/>
          <w:sz w:val="24"/>
          <w:szCs w:val="24"/>
        </w:rPr>
        <w:t>W</w:t>
      </w:r>
      <w:r w:rsidR="008E569B">
        <w:rPr>
          <w:b/>
          <w:sz w:val="24"/>
          <w:szCs w:val="24"/>
        </w:rPr>
        <w:t xml:space="preserve">orkplace assessment and </w:t>
      </w:r>
      <w:r w:rsidR="0040111E">
        <w:rPr>
          <w:b/>
          <w:sz w:val="24"/>
          <w:szCs w:val="24"/>
        </w:rPr>
        <w:t xml:space="preserve">task analysis </w:t>
      </w:r>
    </w:p>
    <w:p w14:paraId="7CA8DF75" w14:textId="77777777" w:rsidR="0085697F" w:rsidRPr="00935F9A" w:rsidRDefault="004759E1" w:rsidP="00935F9A">
      <w:pPr>
        <w:rPr>
          <w:sz w:val="24"/>
          <w:szCs w:val="24"/>
        </w:rPr>
      </w:pPr>
      <w:r>
        <w:rPr>
          <w:sz w:val="24"/>
          <w:szCs w:val="24"/>
        </w:rPr>
        <w:t>In addition to know</w:t>
      </w:r>
      <w:r w:rsidR="004C09C8">
        <w:rPr>
          <w:sz w:val="24"/>
          <w:szCs w:val="24"/>
        </w:rPr>
        <w:t>ledge</w:t>
      </w:r>
      <w:r>
        <w:rPr>
          <w:sz w:val="24"/>
          <w:szCs w:val="24"/>
        </w:rPr>
        <w:t xml:space="preserve"> of principles of excellenc</w:t>
      </w:r>
      <w:r w:rsidR="004C09C8">
        <w:rPr>
          <w:sz w:val="24"/>
          <w:szCs w:val="24"/>
        </w:rPr>
        <w:t xml:space="preserve">e in </w:t>
      </w:r>
      <w:r w:rsidR="008E569B">
        <w:rPr>
          <w:sz w:val="24"/>
          <w:szCs w:val="24"/>
        </w:rPr>
        <w:t xml:space="preserve">workplace assessment and </w:t>
      </w:r>
      <w:r w:rsidR="004C09C8">
        <w:rPr>
          <w:sz w:val="24"/>
          <w:szCs w:val="24"/>
        </w:rPr>
        <w:t xml:space="preserve">task </w:t>
      </w:r>
      <w:r w:rsidR="008F1619">
        <w:rPr>
          <w:sz w:val="24"/>
          <w:szCs w:val="24"/>
        </w:rPr>
        <w:t xml:space="preserve">analysis, </w:t>
      </w:r>
      <w:r w:rsidR="008E4576">
        <w:rPr>
          <w:sz w:val="24"/>
          <w:szCs w:val="24"/>
        </w:rPr>
        <w:t xml:space="preserve">osteopaths </w:t>
      </w:r>
      <w:r w:rsidR="00481FBE">
        <w:rPr>
          <w:sz w:val="24"/>
          <w:szCs w:val="24"/>
        </w:rPr>
        <w:t>with</w:t>
      </w:r>
      <w:r w:rsidR="008E4576">
        <w:rPr>
          <w:sz w:val="24"/>
          <w:szCs w:val="24"/>
        </w:rPr>
        <w:t xml:space="preserve"> standing at </w:t>
      </w:r>
      <w:r w:rsidR="006E04EC">
        <w:rPr>
          <w:sz w:val="24"/>
          <w:szCs w:val="24"/>
        </w:rPr>
        <w:t>the advanced</w:t>
      </w:r>
      <w:r w:rsidR="00731A98">
        <w:rPr>
          <w:sz w:val="24"/>
          <w:szCs w:val="24"/>
        </w:rPr>
        <w:t xml:space="preserve"> practice</w:t>
      </w:r>
      <w:r w:rsidR="006E04EC">
        <w:rPr>
          <w:sz w:val="24"/>
          <w:szCs w:val="24"/>
        </w:rPr>
        <w:t xml:space="preserve"> </w:t>
      </w:r>
      <w:r w:rsidR="008E4576">
        <w:rPr>
          <w:sz w:val="24"/>
          <w:szCs w:val="24"/>
        </w:rPr>
        <w:t xml:space="preserve">level for worksite injury management </w:t>
      </w:r>
      <w:r w:rsidR="00474863">
        <w:rPr>
          <w:sz w:val="24"/>
          <w:szCs w:val="24"/>
        </w:rPr>
        <w:t xml:space="preserve">will </w:t>
      </w:r>
      <w:r w:rsidR="00481FBE">
        <w:rPr>
          <w:sz w:val="24"/>
          <w:szCs w:val="24"/>
        </w:rPr>
        <w:t>possess</w:t>
      </w:r>
      <w:r w:rsidR="008E4576">
        <w:rPr>
          <w:sz w:val="24"/>
          <w:szCs w:val="24"/>
        </w:rPr>
        <w:t>:</w:t>
      </w:r>
    </w:p>
    <w:p w14:paraId="7591796C" w14:textId="77777777" w:rsidR="003F764C" w:rsidRPr="003F764C" w:rsidRDefault="003F764C" w:rsidP="003F764C">
      <w:pPr>
        <w:pStyle w:val="ListParagraph"/>
        <w:numPr>
          <w:ilvl w:val="1"/>
          <w:numId w:val="45"/>
        </w:numPr>
        <w:rPr>
          <w:sz w:val="24"/>
          <w:szCs w:val="24"/>
        </w:rPr>
      </w:pPr>
      <w:r w:rsidRPr="003F764C">
        <w:rPr>
          <w:sz w:val="24"/>
          <w:szCs w:val="24"/>
        </w:rPr>
        <w:t>Knowledge of recovery rates and functional implications of key neuro-musculoskeletal occupational injuries</w:t>
      </w:r>
      <w:r w:rsidR="00AD24AA">
        <w:rPr>
          <w:sz w:val="24"/>
          <w:szCs w:val="24"/>
        </w:rPr>
        <w:t>.</w:t>
      </w:r>
    </w:p>
    <w:p w14:paraId="68EC100E" w14:textId="77777777" w:rsidR="003F764C" w:rsidRDefault="003F764C" w:rsidP="003F764C">
      <w:pPr>
        <w:pStyle w:val="ListParagraph"/>
        <w:ind w:left="360"/>
        <w:rPr>
          <w:sz w:val="24"/>
          <w:szCs w:val="24"/>
        </w:rPr>
      </w:pPr>
    </w:p>
    <w:p w14:paraId="4330D19C" w14:textId="77777777" w:rsidR="0085697F" w:rsidRPr="009F4C72" w:rsidRDefault="004934CC" w:rsidP="009F4C72">
      <w:pPr>
        <w:pStyle w:val="ListParagraph"/>
        <w:numPr>
          <w:ilvl w:val="1"/>
          <w:numId w:val="45"/>
        </w:numPr>
        <w:rPr>
          <w:sz w:val="24"/>
          <w:szCs w:val="24"/>
        </w:rPr>
      </w:pPr>
      <w:r>
        <w:rPr>
          <w:sz w:val="24"/>
          <w:szCs w:val="24"/>
        </w:rPr>
        <w:t xml:space="preserve">Knowledge of </w:t>
      </w:r>
      <w:r w:rsidR="00555F86" w:rsidRPr="009F4C72">
        <w:rPr>
          <w:sz w:val="24"/>
          <w:szCs w:val="24"/>
        </w:rPr>
        <w:t xml:space="preserve">physiological, anatomical </w:t>
      </w:r>
      <w:r w:rsidR="0085697F" w:rsidRPr="009F4C72">
        <w:rPr>
          <w:sz w:val="24"/>
          <w:szCs w:val="24"/>
        </w:rPr>
        <w:t>components</w:t>
      </w:r>
      <w:r w:rsidR="00555F86" w:rsidRPr="009F4C72">
        <w:rPr>
          <w:sz w:val="24"/>
          <w:szCs w:val="24"/>
        </w:rPr>
        <w:t xml:space="preserve"> and/or functional skills</w:t>
      </w:r>
      <w:r w:rsidR="00187232" w:rsidRPr="009F4C72">
        <w:rPr>
          <w:sz w:val="24"/>
          <w:szCs w:val="24"/>
        </w:rPr>
        <w:t xml:space="preserve"> </w:t>
      </w:r>
      <w:r w:rsidR="004C09C8" w:rsidRPr="009F4C72">
        <w:rPr>
          <w:sz w:val="24"/>
          <w:szCs w:val="24"/>
        </w:rPr>
        <w:t>that feed into</w:t>
      </w:r>
      <w:r w:rsidR="00EA3270" w:rsidRPr="009F4C72">
        <w:rPr>
          <w:sz w:val="24"/>
          <w:szCs w:val="24"/>
        </w:rPr>
        <w:t xml:space="preserve"> performan</w:t>
      </w:r>
      <w:r>
        <w:rPr>
          <w:sz w:val="24"/>
          <w:szCs w:val="24"/>
        </w:rPr>
        <w:t>ce of occupational</w:t>
      </w:r>
      <w:r w:rsidR="0085697F" w:rsidRPr="009F4C72">
        <w:rPr>
          <w:sz w:val="24"/>
          <w:szCs w:val="24"/>
        </w:rPr>
        <w:t xml:space="preserve"> task</w:t>
      </w:r>
      <w:r>
        <w:rPr>
          <w:sz w:val="24"/>
          <w:szCs w:val="24"/>
        </w:rPr>
        <w:t>s</w:t>
      </w:r>
      <w:r w:rsidR="0085697F" w:rsidRPr="009F4C72">
        <w:rPr>
          <w:sz w:val="24"/>
          <w:szCs w:val="24"/>
        </w:rPr>
        <w:t xml:space="preserve"> or role</w:t>
      </w:r>
      <w:r>
        <w:rPr>
          <w:sz w:val="24"/>
          <w:szCs w:val="24"/>
        </w:rPr>
        <w:t>s</w:t>
      </w:r>
      <w:r w:rsidR="00AD24AA">
        <w:rPr>
          <w:sz w:val="24"/>
          <w:szCs w:val="24"/>
        </w:rPr>
        <w:t>.</w:t>
      </w:r>
      <w:r w:rsidR="00A44653">
        <w:rPr>
          <w:sz w:val="24"/>
          <w:szCs w:val="24"/>
        </w:rPr>
        <w:t xml:space="preserve"> </w:t>
      </w:r>
    </w:p>
    <w:p w14:paraId="42E6366C" w14:textId="77777777" w:rsidR="0085697F" w:rsidRPr="0085697F" w:rsidRDefault="0085697F" w:rsidP="0085697F">
      <w:pPr>
        <w:pStyle w:val="ListParagraph"/>
        <w:rPr>
          <w:sz w:val="24"/>
          <w:szCs w:val="24"/>
        </w:rPr>
      </w:pPr>
    </w:p>
    <w:p w14:paraId="14C2A487" w14:textId="77777777" w:rsidR="009F4C72" w:rsidRDefault="007763A4" w:rsidP="009F4C72">
      <w:pPr>
        <w:pStyle w:val="ListParagraph"/>
        <w:numPr>
          <w:ilvl w:val="1"/>
          <w:numId w:val="45"/>
        </w:numPr>
        <w:rPr>
          <w:sz w:val="24"/>
          <w:szCs w:val="24"/>
        </w:rPr>
      </w:pPr>
      <w:r>
        <w:rPr>
          <w:sz w:val="24"/>
          <w:szCs w:val="24"/>
        </w:rPr>
        <w:t>K</w:t>
      </w:r>
      <w:r w:rsidR="0032730D" w:rsidRPr="009F4C72">
        <w:rPr>
          <w:sz w:val="24"/>
          <w:szCs w:val="24"/>
        </w:rPr>
        <w:t>nowledge</w:t>
      </w:r>
      <w:r w:rsidR="004934CC">
        <w:rPr>
          <w:sz w:val="24"/>
          <w:szCs w:val="24"/>
        </w:rPr>
        <w:t xml:space="preserve"> of workplace and patient data</w:t>
      </w:r>
      <w:r w:rsidR="00A44653">
        <w:rPr>
          <w:sz w:val="24"/>
          <w:szCs w:val="24"/>
        </w:rPr>
        <w:t xml:space="preserve"> that would</w:t>
      </w:r>
      <w:r w:rsidR="00187232" w:rsidRPr="009F4C72">
        <w:rPr>
          <w:sz w:val="24"/>
          <w:szCs w:val="24"/>
        </w:rPr>
        <w:t xml:space="preserve"> inform a task analysis</w:t>
      </w:r>
      <w:r w:rsidR="00AD24AA">
        <w:rPr>
          <w:sz w:val="24"/>
          <w:szCs w:val="24"/>
        </w:rPr>
        <w:t xml:space="preserve">, their relative strengths and weaknesses. </w:t>
      </w:r>
      <w:r>
        <w:rPr>
          <w:sz w:val="24"/>
          <w:szCs w:val="24"/>
        </w:rPr>
        <w:t xml:space="preserve"> </w:t>
      </w:r>
    </w:p>
    <w:p w14:paraId="0A2E99FA" w14:textId="77777777" w:rsidR="00935F9A" w:rsidRPr="00935F9A" w:rsidRDefault="00935F9A" w:rsidP="00935F9A">
      <w:pPr>
        <w:pStyle w:val="ListParagraph"/>
        <w:rPr>
          <w:sz w:val="24"/>
          <w:szCs w:val="24"/>
        </w:rPr>
      </w:pPr>
    </w:p>
    <w:p w14:paraId="38D5B183" w14:textId="77777777" w:rsidR="00F868FD" w:rsidRDefault="00935F9A" w:rsidP="003F764C">
      <w:pPr>
        <w:pStyle w:val="ListParagraph"/>
        <w:numPr>
          <w:ilvl w:val="1"/>
          <w:numId w:val="45"/>
        </w:numPr>
        <w:rPr>
          <w:sz w:val="24"/>
          <w:szCs w:val="24"/>
        </w:rPr>
      </w:pPr>
      <w:r w:rsidRPr="003F764C">
        <w:rPr>
          <w:sz w:val="24"/>
          <w:szCs w:val="24"/>
        </w:rPr>
        <w:t>Knowledge of the various purposes of a task analysis as m</w:t>
      </w:r>
      <w:r w:rsidR="00AD24AA">
        <w:rPr>
          <w:sz w:val="24"/>
          <w:szCs w:val="24"/>
        </w:rPr>
        <w:t>ight be requested by a referrer</w:t>
      </w:r>
      <w:r w:rsidRPr="003F764C">
        <w:rPr>
          <w:sz w:val="24"/>
          <w:szCs w:val="24"/>
        </w:rPr>
        <w:t>.</w:t>
      </w:r>
      <w:r w:rsidR="003F764C">
        <w:rPr>
          <w:sz w:val="24"/>
          <w:szCs w:val="24"/>
        </w:rPr>
        <w:t xml:space="preserve"> </w:t>
      </w:r>
    </w:p>
    <w:p w14:paraId="7907B013" w14:textId="77777777" w:rsidR="00F868FD" w:rsidRPr="00F868FD" w:rsidRDefault="00F868FD" w:rsidP="00F868FD">
      <w:pPr>
        <w:pStyle w:val="ListParagraph"/>
        <w:rPr>
          <w:sz w:val="24"/>
          <w:szCs w:val="24"/>
        </w:rPr>
      </w:pPr>
    </w:p>
    <w:p w14:paraId="36FABFAA" w14:textId="77777777" w:rsidR="00BC366D" w:rsidRPr="00BC366D" w:rsidRDefault="00F868FD" w:rsidP="00BC366D">
      <w:pPr>
        <w:pStyle w:val="ListParagraph"/>
        <w:numPr>
          <w:ilvl w:val="1"/>
          <w:numId w:val="45"/>
        </w:numPr>
        <w:tabs>
          <w:tab w:val="left" w:pos="426"/>
        </w:tabs>
        <w:rPr>
          <w:sz w:val="24"/>
          <w:szCs w:val="24"/>
        </w:rPr>
      </w:pPr>
      <w:r>
        <w:rPr>
          <w:sz w:val="24"/>
          <w:szCs w:val="24"/>
        </w:rPr>
        <w:t xml:space="preserve"> Knowledge of the</w:t>
      </w:r>
      <w:r w:rsidR="00BC366D">
        <w:rPr>
          <w:sz w:val="24"/>
          <w:szCs w:val="24"/>
        </w:rPr>
        <w:t xml:space="preserve"> following</w:t>
      </w:r>
      <w:r w:rsidR="00A10B62" w:rsidRPr="00BC366D">
        <w:rPr>
          <w:sz w:val="24"/>
          <w:szCs w:val="24"/>
        </w:rPr>
        <w:t xml:space="preserve"> domains</w:t>
      </w:r>
      <w:r w:rsidR="00EA3270" w:rsidRPr="00BC366D">
        <w:rPr>
          <w:sz w:val="24"/>
          <w:szCs w:val="24"/>
        </w:rPr>
        <w:t xml:space="preserve"> </w:t>
      </w:r>
      <w:r w:rsidR="00A10B62" w:rsidRPr="00BC366D">
        <w:rPr>
          <w:sz w:val="24"/>
          <w:szCs w:val="24"/>
        </w:rPr>
        <w:t>and their</w:t>
      </w:r>
      <w:r w:rsidR="008C214B" w:rsidRPr="00BC366D">
        <w:rPr>
          <w:sz w:val="24"/>
          <w:szCs w:val="24"/>
        </w:rPr>
        <w:t xml:space="preserve"> </w:t>
      </w:r>
      <w:r w:rsidR="00950859" w:rsidRPr="00BC366D">
        <w:rPr>
          <w:sz w:val="24"/>
          <w:szCs w:val="24"/>
        </w:rPr>
        <w:t>implicati</w:t>
      </w:r>
      <w:r w:rsidR="00BC366D">
        <w:rPr>
          <w:sz w:val="24"/>
          <w:szCs w:val="24"/>
        </w:rPr>
        <w:t>ons for role or task completion</w:t>
      </w:r>
      <w:r w:rsidR="00445B10">
        <w:rPr>
          <w:sz w:val="24"/>
          <w:szCs w:val="24"/>
        </w:rPr>
        <w:t xml:space="preserve"> with and without neuro-musculoskeletal injury</w:t>
      </w:r>
      <w:r w:rsidR="00BC366D">
        <w:rPr>
          <w:sz w:val="24"/>
          <w:szCs w:val="24"/>
        </w:rPr>
        <w:t>:</w:t>
      </w:r>
    </w:p>
    <w:p w14:paraId="4C97B2DA" w14:textId="77777777" w:rsidR="00BC366D" w:rsidRPr="00BC366D" w:rsidRDefault="00BC366D" w:rsidP="00BC366D">
      <w:pPr>
        <w:pStyle w:val="ListParagraph"/>
        <w:tabs>
          <w:tab w:val="left" w:pos="426"/>
        </w:tabs>
        <w:ind w:left="360"/>
        <w:rPr>
          <w:sz w:val="24"/>
          <w:szCs w:val="24"/>
        </w:rPr>
      </w:pPr>
    </w:p>
    <w:p w14:paraId="72B523B8" w14:textId="77777777" w:rsidR="00DD748B" w:rsidRDefault="00DD748B" w:rsidP="00DD748B">
      <w:pPr>
        <w:pStyle w:val="ListParagraph"/>
        <w:numPr>
          <w:ilvl w:val="0"/>
          <w:numId w:val="38"/>
        </w:numPr>
        <w:rPr>
          <w:sz w:val="24"/>
          <w:szCs w:val="24"/>
        </w:rPr>
      </w:pPr>
      <w:r>
        <w:rPr>
          <w:sz w:val="24"/>
          <w:szCs w:val="24"/>
        </w:rPr>
        <w:t>forces</w:t>
      </w:r>
    </w:p>
    <w:p w14:paraId="2A283179" w14:textId="77777777" w:rsidR="00DD748B" w:rsidRDefault="00DD748B" w:rsidP="00DD748B">
      <w:pPr>
        <w:pStyle w:val="ListParagraph"/>
        <w:numPr>
          <w:ilvl w:val="0"/>
          <w:numId w:val="38"/>
        </w:numPr>
        <w:rPr>
          <w:sz w:val="24"/>
          <w:szCs w:val="24"/>
        </w:rPr>
      </w:pPr>
      <w:r>
        <w:rPr>
          <w:sz w:val="24"/>
          <w:szCs w:val="24"/>
        </w:rPr>
        <w:t>distances</w:t>
      </w:r>
      <w:r w:rsidR="00D33FE2">
        <w:rPr>
          <w:sz w:val="24"/>
          <w:szCs w:val="24"/>
        </w:rPr>
        <w:t xml:space="preserve"> </w:t>
      </w:r>
    </w:p>
    <w:p w14:paraId="62FEAA86" w14:textId="77777777" w:rsidR="00DD748B" w:rsidRDefault="00DD748B" w:rsidP="00DD748B">
      <w:pPr>
        <w:pStyle w:val="ListParagraph"/>
        <w:numPr>
          <w:ilvl w:val="0"/>
          <w:numId w:val="38"/>
        </w:numPr>
        <w:rPr>
          <w:sz w:val="24"/>
          <w:szCs w:val="24"/>
        </w:rPr>
      </w:pPr>
      <w:r>
        <w:rPr>
          <w:sz w:val="24"/>
          <w:szCs w:val="24"/>
        </w:rPr>
        <w:t>heights</w:t>
      </w:r>
      <w:r w:rsidR="00D33FE2">
        <w:rPr>
          <w:sz w:val="24"/>
          <w:szCs w:val="24"/>
        </w:rPr>
        <w:t xml:space="preserve"> </w:t>
      </w:r>
    </w:p>
    <w:p w14:paraId="5EE0C007" w14:textId="77777777" w:rsidR="00DD748B" w:rsidRDefault="00DD748B" w:rsidP="00DD748B">
      <w:pPr>
        <w:pStyle w:val="ListParagraph"/>
        <w:numPr>
          <w:ilvl w:val="0"/>
          <w:numId w:val="38"/>
        </w:numPr>
        <w:rPr>
          <w:sz w:val="24"/>
          <w:szCs w:val="24"/>
        </w:rPr>
      </w:pPr>
      <w:r>
        <w:rPr>
          <w:sz w:val="24"/>
          <w:szCs w:val="24"/>
        </w:rPr>
        <w:t>weights</w:t>
      </w:r>
      <w:r w:rsidR="00D33FE2">
        <w:rPr>
          <w:sz w:val="24"/>
          <w:szCs w:val="24"/>
        </w:rPr>
        <w:t xml:space="preserve"> </w:t>
      </w:r>
    </w:p>
    <w:p w14:paraId="6F33B537" w14:textId="77777777" w:rsidR="00DD748B" w:rsidRDefault="00DD748B" w:rsidP="00DD748B">
      <w:pPr>
        <w:pStyle w:val="ListParagraph"/>
        <w:numPr>
          <w:ilvl w:val="0"/>
          <w:numId w:val="38"/>
        </w:numPr>
        <w:rPr>
          <w:sz w:val="24"/>
          <w:szCs w:val="24"/>
        </w:rPr>
      </w:pPr>
      <w:r>
        <w:rPr>
          <w:sz w:val="24"/>
          <w:szCs w:val="24"/>
        </w:rPr>
        <w:t>repetitions</w:t>
      </w:r>
      <w:r w:rsidR="00D33FE2">
        <w:rPr>
          <w:sz w:val="24"/>
          <w:szCs w:val="24"/>
        </w:rPr>
        <w:t xml:space="preserve"> </w:t>
      </w:r>
    </w:p>
    <w:p w14:paraId="2DBBF5AB" w14:textId="77777777" w:rsidR="00A10B62" w:rsidRDefault="00DD748B" w:rsidP="00DD748B">
      <w:pPr>
        <w:pStyle w:val="ListParagraph"/>
        <w:numPr>
          <w:ilvl w:val="0"/>
          <w:numId w:val="38"/>
        </w:numPr>
        <w:rPr>
          <w:sz w:val="24"/>
          <w:szCs w:val="24"/>
        </w:rPr>
      </w:pPr>
      <w:r>
        <w:rPr>
          <w:sz w:val="24"/>
          <w:szCs w:val="24"/>
        </w:rPr>
        <w:t>lifting</w:t>
      </w:r>
      <w:r w:rsidR="00D33FE2">
        <w:rPr>
          <w:sz w:val="24"/>
          <w:szCs w:val="24"/>
        </w:rPr>
        <w:t xml:space="preserve"> movement</w:t>
      </w:r>
      <w:r>
        <w:rPr>
          <w:sz w:val="24"/>
          <w:szCs w:val="24"/>
        </w:rPr>
        <w:t xml:space="preserve"> </w:t>
      </w:r>
      <w:r w:rsidR="00010246">
        <w:rPr>
          <w:sz w:val="24"/>
          <w:szCs w:val="24"/>
        </w:rPr>
        <w:t xml:space="preserve">patterns </w:t>
      </w:r>
    </w:p>
    <w:p w14:paraId="1ECC702C" w14:textId="77777777" w:rsidR="00A10B62" w:rsidRDefault="00DD748B" w:rsidP="00DD748B">
      <w:pPr>
        <w:pStyle w:val="ListParagraph"/>
        <w:numPr>
          <w:ilvl w:val="0"/>
          <w:numId w:val="38"/>
        </w:numPr>
        <w:rPr>
          <w:sz w:val="24"/>
          <w:szCs w:val="24"/>
        </w:rPr>
      </w:pPr>
      <w:r>
        <w:rPr>
          <w:sz w:val="24"/>
          <w:szCs w:val="24"/>
        </w:rPr>
        <w:t xml:space="preserve">equipment </w:t>
      </w:r>
      <w:proofErr w:type="gramStart"/>
      <w:r>
        <w:rPr>
          <w:sz w:val="24"/>
          <w:szCs w:val="24"/>
        </w:rPr>
        <w:t>use</w:t>
      </w:r>
      <w:proofErr w:type="gramEnd"/>
      <w:r w:rsidR="008C214B">
        <w:rPr>
          <w:sz w:val="24"/>
          <w:szCs w:val="24"/>
        </w:rPr>
        <w:t>, tools or supplies</w:t>
      </w:r>
    </w:p>
    <w:p w14:paraId="23F813AA" w14:textId="77777777" w:rsidR="00A10B62" w:rsidRDefault="00F348A2" w:rsidP="00DD748B">
      <w:pPr>
        <w:pStyle w:val="ListParagraph"/>
        <w:numPr>
          <w:ilvl w:val="0"/>
          <w:numId w:val="38"/>
        </w:numPr>
        <w:rPr>
          <w:sz w:val="24"/>
          <w:szCs w:val="24"/>
        </w:rPr>
      </w:pPr>
      <w:r>
        <w:rPr>
          <w:sz w:val="24"/>
          <w:szCs w:val="24"/>
        </w:rPr>
        <w:t>processes</w:t>
      </w:r>
    </w:p>
    <w:p w14:paraId="7F1725C3" w14:textId="77777777" w:rsidR="00F348A2" w:rsidRDefault="00F348A2" w:rsidP="00DD748B">
      <w:pPr>
        <w:pStyle w:val="ListParagraph"/>
        <w:numPr>
          <w:ilvl w:val="0"/>
          <w:numId w:val="38"/>
        </w:numPr>
        <w:rPr>
          <w:sz w:val="24"/>
          <w:szCs w:val="24"/>
        </w:rPr>
      </w:pPr>
      <w:r>
        <w:rPr>
          <w:sz w:val="24"/>
          <w:szCs w:val="24"/>
        </w:rPr>
        <w:t>interactions between staff and/or others</w:t>
      </w:r>
    </w:p>
    <w:p w14:paraId="3610B535" w14:textId="77777777" w:rsidR="008C214B" w:rsidRPr="0056662D" w:rsidRDefault="00993148" w:rsidP="0056662D">
      <w:pPr>
        <w:pStyle w:val="ListParagraph"/>
        <w:numPr>
          <w:ilvl w:val="0"/>
          <w:numId w:val="38"/>
        </w:numPr>
        <w:rPr>
          <w:sz w:val="24"/>
          <w:szCs w:val="24"/>
        </w:rPr>
      </w:pPr>
      <w:r w:rsidRPr="0056662D">
        <w:rPr>
          <w:sz w:val="24"/>
          <w:szCs w:val="24"/>
        </w:rPr>
        <w:t>rotations, intervals, frequency and</w:t>
      </w:r>
      <w:r w:rsidR="004C09C8" w:rsidRPr="0056662D">
        <w:rPr>
          <w:sz w:val="24"/>
          <w:szCs w:val="24"/>
        </w:rPr>
        <w:t xml:space="preserve"> </w:t>
      </w:r>
      <w:r w:rsidR="008C214B" w:rsidRPr="0056662D">
        <w:rPr>
          <w:sz w:val="24"/>
          <w:szCs w:val="24"/>
        </w:rPr>
        <w:t xml:space="preserve">periods </w:t>
      </w:r>
      <w:r w:rsidRPr="0056662D">
        <w:rPr>
          <w:sz w:val="24"/>
          <w:szCs w:val="24"/>
        </w:rPr>
        <w:t>of work</w:t>
      </w:r>
      <w:r w:rsidR="0056662D" w:rsidRPr="0056662D">
        <w:rPr>
          <w:sz w:val="24"/>
          <w:szCs w:val="24"/>
        </w:rPr>
        <w:t>.</w:t>
      </w:r>
    </w:p>
    <w:p w14:paraId="3A048666" w14:textId="77777777" w:rsidR="0056662D" w:rsidRDefault="0056662D" w:rsidP="008C214B">
      <w:pPr>
        <w:pStyle w:val="ListParagraph"/>
        <w:ind w:left="2160"/>
        <w:rPr>
          <w:sz w:val="24"/>
          <w:szCs w:val="24"/>
        </w:rPr>
      </w:pPr>
    </w:p>
    <w:p w14:paraId="5AA4D038" w14:textId="77777777" w:rsidR="00531D76" w:rsidRDefault="00BC366D" w:rsidP="00BC366D">
      <w:pPr>
        <w:pStyle w:val="ListParagraph"/>
        <w:numPr>
          <w:ilvl w:val="1"/>
          <w:numId w:val="45"/>
        </w:numPr>
        <w:tabs>
          <w:tab w:val="left" w:pos="426"/>
        </w:tabs>
        <w:rPr>
          <w:sz w:val="24"/>
          <w:szCs w:val="24"/>
        </w:rPr>
      </w:pPr>
      <w:r>
        <w:rPr>
          <w:sz w:val="24"/>
          <w:szCs w:val="24"/>
        </w:rPr>
        <w:t xml:space="preserve"> </w:t>
      </w:r>
      <w:r w:rsidR="007A111E">
        <w:rPr>
          <w:sz w:val="24"/>
          <w:szCs w:val="24"/>
        </w:rPr>
        <w:t xml:space="preserve">Knowledge of </w:t>
      </w:r>
      <w:r w:rsidR="00AD24AA">
        <w:rPr>
          <w:sz w:val="24"/>
          <w:szCs w:val="24"/>
        </w:rPr>
        <w:t xml:space="preserve">principles in the development of task analysis reports </w:t>
      </w:r>
      <w:r w:rsidR="007A111E">
        <w:rPr>
          <w:sz w:val="24"/>
          <w:szCs w:val="24"/>
        </w:rPr>
        <w:t>for</w:t>
      </w:r>
      <w:r w:rsidR="00645980">
        <w:rPr>
          <w:sz w:val="24"/>
          <w:szCs w:val="24"/>
        </w:rPr>
        <w:t xml:space="preserve"> effective</w:t>
      </w:r>
      <w:r w:rsidR="007A111E">
        <w:rPr>
          <w:sz w:val="24"/>
          <w:szCs w:val="24"/>
        </w:rPr>
        <w:t xml:space="preserve"> workplace implementation</w:t>
      </w:r>
      <w:r w:rsidR="001A22C1">
        <w:rPr>
          <w:sz w:val="24"/>
          <w:szCs w:val="24"/>
        </w:rPr>
        <w:t xml:space="preserve"> in the interests of an injured worker</w:t>
      </w:r>
      <w:r w:rsidR="00AD24AA">
        <w:rPr>
          <w:sz w:val="24"/>
          <w:szCs w:val="24"/>
        </w:rPr>
        <w:t>.</w:t>
      </w:r>
    </w:p>
    <w:p w14:paraId="7FD4D406" w14:textId="77777777" w:rsidR="00B52BC9" w:rsidRDefault="00B52BC9" w:rsidP="00B52BC9">
      <w:pPr>
        <w:pStyle w:val="ListParagraph"/>
        <w:ind w:left="360"/>
        <w:rPr>
          <w:sz w:val="24"/>
          <w:szCs w:val="24"/>
        </w:rPr>
      </w:pPr>
    </w:p>
    <w:p w14:paraId="22D6E8A9" w14:textId="77777777" w:rsidR="00AD24AA" w:rsidRDefault="00AD24AA" w:rsidP="00AD24AA">
      <w:pPr>
        <w:pStyle w:val="ListParagraph"/>
        <w:numPr>
          <w:ilvl w:val="1"/>
          <w:numId w:val="45"/>
        </w:numPr>
        <w:tabs>
          <w:tab w:val="left" w:pos="426"/>
        </w:tabs>
        <w:rPr>
          <w:sz w:val="24"/>
          <w:szCs w:val="24"/>
        </w:rPr>
      </w:pPr>
      <w:r>
        <w:rPr>
          <w:sz w:val="24"/>
          <w:szCs w:val="24"/>
        </w:rPr>
        <w:lastRenderedPageBreak/>
        <w:t xml:space="preserve"> </w:t>
      </w:r>
      <w:r w:rsidRPr="00AD24AA">
        <w:rPr>
          <w:sz w:val="24"/>
          <w:szCs w:val="24"/>
        </w:rPr>
        <w:t>Knowledge of principles in best practice workplace stake</w:t>
      </w:r>
      <w:r w:rsidR="00BC366D">
        <w:rPr>
          <w:sz w:val="24"/>
          <w:szCs w:val="24"/>
        </w:rPr>
        <w:t>holder engagement</w:t>
      </w:r>
      <w:r w:rsidR="0079579F">
        <w:rPr>
          <w:sz w:val="24"/>
          <w:szCs w:val="24"/>
        </w:rPr>
        <w:t xml:space="preserve"> and education for task redesign</w:t>
      </w:r>
      <w:r w:rsidR="00BC366D">
        <w:rPr>
          <w:sz w:val="24"/>
          <w:szCs w:val="24"/>
        </w:rPr>
        <w:t xml:space="preserve">. </w:t>
      </w:r>
    </w:p>
    <w:p w14:paraId="29A86640" w14:textId="77777777" w:rsidR="00063AF2" w:rsidRPr="00063AF2" w:rsidRDefault="00063AF2" w:rsidP="00063AF2">
      <w:pPr>
        <w:pStyle w:val="ListParagraph"/>
        <w:rPr>
          <w:sz w:val="24"/>
          <w:szCs w:val="24"/>
        </w:rPr>
      </w:pPr>
    </w:p>
    <w:p w14:paraId="3C676A56" w14:textId="56229C29" w:rsidR="008E4576" w:rsidRDefault="00A408C2" w:rsidP="00063AF2">
      <w:pPr>
        <w:pStyle w:val="Heading2"/>
      </w:pPr>
      <w:r>
        <w:t>W</w:t>
      </w:r>
      <w:r w:rsidR="00063AF2">
        <w:t>ork</w:t>
      </w:r>
      <w:r w:rsidR="005C7C91">
        <w:t>place based</w:t>
      </w:r>
      <w:r w:rsidR="00063AF2">
        <w:t xml:space="preserve"> injury management</w:t>
      </w:r>
      <w:r w:rsidR="001810FF">
        <w:t xml:space="preserve"> support</w:t>
      </w:r>
      <w:r w:rsidR="00063AF2">
        <w:t xml:space="preserve"> reasoning in practice</w:t>
      </w:r>
    </w:p>
    <w:p w14:paraId="66672AD9" w14:textId="77777777" w:rsidR="00063AF2" w:rsidRDefault="00063AF2" w:rsidP="00063AF2"/>
    <w:p w14:paraId="1EE3BD39" w14:textId="6ABC962D" w:rsidR="00476B36" w:rsidRDefault="00DE33C8" w:rsidP="00063AF2">
      <w:pPr>
        <w:rPr>
          <w:sz w:val="24"/>
          <w:szCs w:val="24"/>
        </w:rPr>
      </w:pPr>
      <w:r>
        <w:rPr>
          <w:sz w:val="24"/>
          <w:szCs w:val="24"/>
        </w:rPr>
        <w:t>Advanced practice (titled) members of the O</w:t>
      </w:r>
      <w:r w:rsidR="004B6CCB">
        <w:rPr>
          <w:sz w:val="24"/>
          <w:szCs w:val="24"/>
        </w:rPr>
        <w:t>ccupational Health</w:t>
      </w:r>
      <w:r>
        <w:rPr>
          <w:sz w:val="24"/>
          <w:szCs w:val="24"/>
        </w:rPr>
        <w:t xml:space="preserve"> CP</w:t>
      </w:r>
      <w:r w:rsidR="004B6CCB">
        <w:rPr>
          <w:sz w:val="24"/>
          <w:szCs w:val="24"/>
        </w:rPr>
        <w:t>G</w:t>
      </w:r>
      <w:r>
        <w:rPr>
          <w:sz w:val="24"/>
          <w:szCs w:val="24"/>
        </w:rPr>
        <w:t xml:space="preserve"> for work</w:t>
      </w:r>
      <w:r w:rsidR="005C7C91">
        <w:rPr>
          <w:sz w:val="24"/>
          <w:szCs w:val="24"/>
        </w:rPr>
        <w:t>place</w:t>
      </w:r>
      <w:r>
        <w:rPr>
          <w:sz w:val="24"/>
          <w:szCs w:val="24"/>
        </w:rPr>
        <w:t xml:space="preserve"> injury management demonstrate practical experience in provision of work</w:t>
      </w:r>
      <w:r w:rsidR="005C7C91">
        <w:rPr>
          <w:sz w:val="24"/>
          <w:szCs w:val="24"/>
        </w:rPr>
        <w:t>place</w:t>
      </w:r>
      <w:r>
        <w:rPr>
          <w:sz w:val="24"/>
          <w:szCs w:val="24"/>
        </w:rPr>
        <w:t xml:space="preserve"> services either on a private-fee-for service basis or as a component of their work in a Commonwealth, state or territory workers compensation scheme. </w:t>
      </w:r>
    </w:p>
    <w:p w14:paraId="21DEE6E3" w14:textId="4EE248EA" w:rsidR="00914249" w:rsidRDefault="00F43B93" w:rsidP="00063AF2">
      <w:pPr>
        <w:rPr>
          <w:sz w:val="24"/>
          <w:szCs w:val="24"/>
        </w:rPr>
      </w:pPr>
      <w:r>
        <w:rPr>
          <w:sz w:val="24"/>
          <w:szCs w:val="24"/>
        </w:rPr>
        <w:t xml:space="preserve">These members are adept at </w:t>
      </w:r>
      <w:r w:rsidRPr="006103A5">
        <w:rPr>
          <w:sz w:val="24"/>
          <w:szCs w:val="24"/>
        </w:rPr>
        <w:t>work</w:t>
      </w:r>
      <w:r w:rsidR="005C7C91">
        <w:rPr>
          <w:sz w:val="24"/>
          <w:szCs w:val="24"/>
        </w:rPr>
        <w:t>place</w:t>
      </w:r>
      <w:r>
        <w:rPr>
          <w:sz w:val="24"/>
          <w:szCs w:val="24"/>
        </w:rPr>
        <w:t xml:space="preserve"> assessment</w:t>
      </w:r>
      <w:r w:rsidR="00490B8D">
        <w:rPr>
          <w:sz w:val="24"/>
          <w:szCs w:val="24"/>
        </w:rPr>
        <w:t xml:space="preserve"> </w:t>
      </w:r>
      <w:r w:rsidR="007A3A9F">
        <w:rPr>
          <w:sz w:val="24"/>
          <w:szCs w:val="24"/>
        </w:rPr>
        <w:t>applying</w:t>
      </w:r>
      <w:r w:rsidR="00490B8D">
        <w:rPr>
          <w:sz w:val="24"/>
          <w:szCs w:val="24"/>
        </w:rPr>
        <w:t xml:space="preserve"> validated ergonomic and job analysis</w:t>
      </w:r>
      <w:r w:rsidR="007A3A9F">
        <w:rPr>
          <w:sz w:val="24"/>
          <w:szCs w:val="24"/>
        </w:rPr>
        <w:t xml:space="preserve"> tools</w:t>
      </w:r>
      <w:r w:rsidR="00D05CFF">
        <w:rPr>
          <w:sz w:val="24"/>
          <w:szCs w:val="24"/>
        </w:rPr>
        <w:t xml:space="preserve"> and</w:t>
      </w:r>
      <w:r w:rsidR="007A3A9F">
        <w:rPr>
          <w:sz w:val="24"/>
          <w:szCs w:val="24"/>
        </w:rPr>
        <w:t xml:space="preserve"> guidelines</w:t>
      </w:r>
      <w:r w:rsidR="00490B8D">
        <w:rPr>
          <w:sz w:val="24"/>
          <w:szCs w:val="24"/>
        </w:rPr>
        <w:t>. They</w:t>
      </w:r>
      <w:r>
        <w:rPr>
          <w:sz w:val="24"/>
          <w:szCs w:val="24"/>
        </w:rPr>
        <w:t xml:space="preserve"> demonstrate </w:t>
      </w:r>
      <w:r w:rsidR="005C542F">
        <w:rPr>
          <w:sz w:val="24"/>
          <w:szCs w:val="24"/>
        </w:rPr>
        <w:t xml:space="preserve">the </w:t>
      </w:r>
      <w:r>
        <w:rPr>
          <w:sz w:val="24"/>
          <w:szCs w:val="24"/>
        </w:rPr>
        <w:t xml:space="preserve">ability to draft reports that </w:t>
      </w:r>
      <w:r w:rsidR="00490B8D">
        <w:rPr>
          <w:sz w:val="24"/>
          <w:szCs w:val="24"/>
        </w:rPr>
        <w:t>a</w:t>
      </w:r>
      <w:r w:rsidR="002241B0">
        <w:rPr>
          <w:sz w:val="24"/>
          <w:szCs w:val="24"/>
        </w:rPr>
        <w:t>ssess</w:t>
      </w:r>
      <w:r w:rsidR="005C542F">
        <w:rPr>
          <w:sz w:val="24"/>
          <w:szCs w:val="24"/>
        </w:rPr>
        <w:t xml:space="preserve"> workers against</w:t>
      </w:r>
      <w:r w:rsidR="00490B8D">
        <w:rPr>
          <w:sz w:val="24"/>
          <w:szCs w:val="24"/>
        </w:rPr>
        <w:t xml:space="preserve"> </w:t>
      </w:r>
      <w:r w:rsidR="007A3A9F">
        <w:rPr>
          <w:sz w:val="24"/>
          <w:szCs w:val="24"/>
        </w:rPr>
        <w:t xml:space="preserve">physical </w:t>
      </w:r>
      <w:r w:rsidR="005C542F">
        <w:rPr>
          <w:sz w:val="24"/>
          <w:szCs w:val="24"/>
        </w:rPr>
        <w:t>role demands</w:t>
      </w:r>
      <w:r w:rsidR="00490B8D">
        <w:rPr>
          <w:sz w:val="24"/>
          <w:szCs w:val="24"/>
        </w:rPr>
        <w:t xml:space="preserve">, ergonomic, cognitive, organisational and social environmental factors </w:t>
      </w:r>
      <w:r w:rsidR="005C542F">
        <w:rPr>
          <w:sz w:val="24"/>
          <w:szCs w:val="24"/>
        </w:rPr>
        <w:t>in a work</w:t>
      </w:r>
      <w:r w:rsidR="005C7C91">
        <w:rPr>
          <w:sz w:val="24"/>
          <w:szCs w:val="24"/>
        </w:rPr>
        <w:t>place</w:t>
      </w:r>
      <w:r w:rsidR="00914249">
        <w:rPr>
          <w:sz w:val="24"/>
          <w:szCs w:val="24"/>
        </w:rPr>
        <w:t>, and produce analyses of risk in work areas and actions in relation to the injury or condition sustained, pain thresholds, tasks undertaken, management and recovery milestones.</w:t>
      </w:r>
      <w:r w:rsidR="002241B0">
        <w:rPr>
          <w:sz w:val="24"/>
          <w:szCs w:val="24"/>
        </w:rPr>
        <w:t xml:space="preserve"> </w:t>
      </w:r>
      <w:r w:rsidR="00914249">
        <w:rPr>
          <w:sz w:val="24"/>
          <w:szCs w:val="24"/>
        </w:rPr>
        <w:t xml:space="preserve"> </w:t>
      </w:r>
    </w:p>
    <w:p w14:paraId="7F4C4843" w14:textId="4B796547" w:rsidR="000F7F70" w:rsidRDefault="003A7660" w:rsidP="00063AF2">
      <w:pPr>
        <w:rPr>
          <w:sz w:val="24"/>
          <w:szCs w:val="24"/>
        </w:rPr>
      </w:pPr>
      <w:r>
        <w:rPr>
          <w:sz w:val="24"/>
          <w:szCs w:val="24"/>
        </w:rPr>
        <w:t>Advanced practice members in workplace injury management demonstrate that they can produce quality reports and recommendations for injury management that take into consideration work tasks, the findings of job analyses and ergonomic assessments</w:t>
      </w:r>
      <w:r>
        <w:rPr>
          <w:sz w:val="24"/>
          <w:szCs w:val="24"/>
        </w:rPr>
        <w:t>.</w:t>
      </w:r>
      <w:bookmarkStart w:id="0" w:name="_GoBack"/>
      <w:bookmarkEnd w:id="0"/>
      <w:r>
        <w:rPr>
          <w:sz w:val="24"/>
          <w:szCs w:val="24"/>
        </w:rPr>
        <w:t xml:space="preserve"> </w:t>
      </w:r>
      <w:r w:rsidR="00914249">
        <w:rPr>
          <w:sz w:val="24"/>
          <w:szCs w:val="24"/>
        </w:rPr>
        <w:t xml:space="preserve">They will demonstrate the skill to identify how organisational and work processes can support and aid injury recovery. </w:t>
      </w:r>
      <w:r w:rsidR="007A3A9F">
        <w:rPr>
          <w:sz w:val="24"/>
          <w:szCs w:val="24"/>
        </w:rPr>
        <w:t>Advanced practice members exemplify skill in encouraging adoption and adherence to work</w:t>
      </w:r>
      <w:r w:rsidR="005C7C91">
        <w:rPr>
          <w:sz w:val="24"/>
          <w:szCs w:val="24"/>
        </w:rPr>
        <w:t>place</w:t>
      </w:r>
      <w:r w:rsidR="007A3A9F">
        <w:rPr>
          <w:sz w:val="24"/>
          <w:szCs w:val="24"/>
        </w:rPr>
        <w:t xml:space="preserve"> injury management recommendations</w:t>
      </w:r>
      <w:r w:rsidR="00FC3B50">
        <w:rPr>
          <w:sz w:val="24"/>
          <w:szCs w:val="24"/>
        </w:rPr>
        <w:t xml:space="preserve"> in business practice</w:t>
      </w:r>
      <w:r w:rsidR="00914249">
        <w:rPr>
          <w:sz w:val="24"/>
          <w:szCs w:val="24"/>
        </w:rPr>
        <w:t xml:space="preserve"> through stakeholder management and </w:t>
      </w:r>
      <w:r w:rsidR="002F27CE">
        <w:rPr>
          <w:sz w:val="24"/>
          <w:szCs w:val="24"/>
        </w:rPr>
        <w:t>engagement.</w:t>
      </w:r>
    </w:p>
    <w:p w14:paraId="2C7D1C37" w14:textId="77777777" w:rsidR="000F7F70" w:rsidRPr="007A3A9F" w:rsidRDefault="000F7F70" w:rsidP="00063AF2">
      <w:pPr>
        <w:rPr>
          <w:sz w:val="24"/>
          <w:szCs w:val="24"/>
        </w:rPr>
      </w:pPr>
    </w:p>
    <w:p w14:paraId="56B036C8" w14:textId="77777777" w:rsidR="00E72913" w:rsidRDefault="00E72913" w:rsidP="00481FBE">
      <w:pPr>
        <w:pStyle w:val="Heading2"/>
      </w:pPr>
      <w:r>
        <w:t>Occupational Rehabilitation Support</w:t>
      </w:r>
    </w:p>
    <w:p w14:paraId="41327777" w14:textId="77777777" w:rsidR="00A81007" w:rsidRDefault="00A81007" w:rsidP="00CC4276">
      <w:pPr>
        <w:rPr>
          <w:sz w:val="24"/>
          <w:szCs w:val="24"/>
        </w:rPr>
      </w:pPr>
    </w:p>
    <w:p w14:paraId="481DDDC8" w14:textId="77777777" w:rsidR="00C057C8" w:rsidRDefault="00713995" w:rsidP="00713995">
      <w:pPr>
        <w:rPr>
          <w:sz w:val="24"/>
          <w:szCs w:val="24"/>
        </w:rPr>
      </w:pPr>
      <w:r>
        <w:rPr>
          <w:sz w:val="24"/>
          <w:szCs w:val="24"/>
        </w:rPr>
        <w:t xml:space="preserve">Some </w:t>
      </w:r>
      <w:r w:rsidR="006E04EC">
        <w:rPr>
          <w:sz w:val="24"/>
          <w:szCs w:val="24"/>
        </w:rPr>
        <w:t>advanced</w:t>
      </w:r>
      <w:r w:rsidR="00731A98">
        <w:rPr>
          <w:sz w:val="24"/>
          <w:szCs w:val="24"/>
        </w:rPr>
        <w:t xml:space="preserve"> practice</w:t>
      </w:r>
      <w:r w:rsidR="004B6CCB">
        <w:rPr>
          <w:sz w:val="24"/>
          <w:szCs w:val="24"/>
        </w:rPr>
        <w:t xml:space="preserve"> (titled)</w:t>
      </w:r>
      <w:r w:rsidR="006E04EC">
        <w:rPr>
          <w:sz w:val="24"/>
          <w:szCs w:val="24"/>
        </w:rPr>
        <w:t xml:space="preserve"> </w:t>
      </w:r>
      <w:r>
        <w:rPr>
          <w:sz w:val="24"/>
          <w:szCs w:val="24"/>
        </w:rPr>
        <w:t>members</w:t>
      </w:r>
      <w:r w:rsidR="00C057C8">
        <w:rPr>
          <w:sz w:val="24"/>
          <w:szCs w:val="24"/>
        </w:rPr>
        <w:t xml:space="preserve"> develop skillsets in occupational rehabilitation service delivery for neuro-musculoskeletal workplace injuries. These members would effectively participate in </w:t>
      </w:r>
      <w:r w:rsidR="006F2F36">
        <w:rPr>
          <w:sz w:val="24"/>
          <w:szCs w:val="24"/>
        </w:rPr>
        <w:t xml:space="preserve">facilitating </w:t>
      </w:r>
      <w:r w:rsidR="005D1C86">
        <w:rPr>
          <w:sz w:val="24"/>
          <w:szCs w:val="24"/>
        </w:rPr>
        <w:t>clinical support</w:t>
      </w:r>
      <w:r w:rsidR="006F2F36">
        <w:rPr>
          <w:sz w:val="24"/>
          <w:szCs w:val="24"/>
        </w:rPr>
        <w:t xml:space="preserve"> to help workers return and remain at work. </w:t>
      </w:r>
    </w:p>
    <w:p w14:paraId="3CD21B6C" w14:textId="77777777" w:rsidR="006F2F36" w:rsidRDefault="005D1C86" w:rsidP="006F2F36">
      <w:pPr>
        <w:rPr>
          <w:sz w:val="24"/>
          <w:szCs w:val="24"/>
        </w:rPr>
      </w:pPr>
      <w:r>
        <w:rPr>
          <w:sz w:val="24"/>
          <w:szCs w:val="24"/>
        </w:rPr>
        <w:t xml:space="preserve">Osteopaths seeking </w:t>
      </w:r>
      <w:r w:rsidR="006F2F36">
        <w:rPr>
          <w:sz w:val="24"/>
          <w:szCs w:val="24"/>
        </w:rPr>
        <w:t xml:space="preserve">standing at the </w:t>
      </w:r>
      <w:r w:rsidR="006E04EC">
        <w:rPr>
          <w:sz w:val="24"/>
          <w:szCs w:val="24"/>
        </w:rPr>
        <w:t>advanced practice level</w:t>
      </w:r>
      <w:r w:rsidR="006F2F36">
        <w:rPr>
          <w:sz w:val="24"/>
          <w:szCs w:val="24"/>
        </w:rPr>
        <w:t xml:space="preserve"> for</w:t>
      </w:r>
      <w:r>
        <w:rPr>
          <w:sz w:val="24"/>
          <w:szCs w:val="24"/>
        </w:rPr>
        <w:t xml:space="preserve"> occupational rehabilitation support will require the following clinical reasoning and skillsets.</w:t>
      </w:r>
    </w:p>
    <w:p w14:paraId="6372C8F0" w14:textId="77777777" w:rsidR="00105B74" w:rsidRPr="00105B74" w:rsidRDefault="00105B74" w:rsidP="00960C33">
      <w:pPr>
        <w:rPr>
          <w:b/>
          <w:sz w:val="24"/>
          <w:szCs w:val="24"/>
        </w:rPr>
      </w:pPr>
      <w:r w:rsidRPr="00105B74">
        <w:rPr>
          <w:b/>
          <w:sz w:val="24"/>
          <w:szCs w:val="24"/>
        </w:rPr>
        <w:t xml:space="preserve">Occupational rehabilitation </w:t>
      </w:r>
      <w:r w:rsidR="00F944F9">
        <w:rPr>
          <w:b/>
          <w:sz w:val="24"/>
          <w:szCs w:val="24"/>
        </w:rPr>
        <w:t>reasoning</w:t>
      </w:r>
    </w:p>
    <w:p w14:paraId="45937CB3" w14:textId="77777777" w:rsidR="00A81007" w:rsidRPr="00A81007" w:rsidRDefault="00A81007" w:rsidP="00A81007">
      <w:pPr>
        <w:pStyle w:val="ListParagraph"/>
        <w:numPr>
          <w:ilvl w:val="1"/>
          <w:numId w:val="48"/>
        </w:numPr>
        <w:spacing w:after="0" w:line="240" w:lineRule="auto"/>
        <w:rPr>
          <w:sz w:val="24"/>
          <w:szCs w:val="24"/>
        </w:rPr>
      </w:pPr>
      <w:r w:rsidRPr="00A81007">
        <w:rPr>
          <w:rFonts w:ascii="Calibri" w:eastAsia="Times New Roman" w:hAnsi="Calibri" w:cs="Calibri"/>
          <w:color w:val="000000"/>
          <w:sz w:val="24"/>
          <w:szCs w:val="24"/>
          <w:lang w:eastAsia="en-AU"/>
        </w:rPr>
        <w:t xml:space="preserve">Knowledge of best practice in the management of key </w:t>
      </w:r>
      <w:r w:rsidR="00154E90">
        <w:rPr>
          <w:rFonts w:ascii="Calibri" w:eastAsia="Times New Roman" w:hAnsi="Calibri" w:cs="Calibri"/>
          <w:color w:val="000000"/>
          <w:sz w:val="24"/>
          <w:szCs w:val="24"/>
          <w:lang w:eastAsia="en-AU"/>
        </w:rPr>
        <w:t xml:space="preserve">neuro-musculoskeletal </w:t>
      </w:r>
      <w:r w:rsidRPr="00A81007">
        <w:rPr>
          <w:rFonts w:ascii="Calibri" w:eastAsia="Times New Roman" w:hAnsi="Calibri" w:cs="Calibri"/>
          <w:color w:val="000000"/>
          <w:sz w:val="24"/>
          <w:szCs w:val="24"/>
          <w:lang w:eastAsia="en-AU"/>
        </w:rPr>
        <w:t>occupational injuries, including the range of recovery pathways, professional and/or clinical treatment modalities, and the capability to acqui</w:t>
      </w:r>
      <w:r w:rsidR="00105B74">
        <w:rPr>
          <w:rFonts w:ascii="Calibri" w:eastAsia="Times New Roman" w:hAnsi="Calibri" w:cs="Calibri"/>
          <w:color w:val="000000"/>
          <w:sz w:val="24"/>
          <w:szCs w:val="24"/>
          <w:lang w:eastAsia="en-AU"/>
        </w:rPr>
        <w:t xml:space="preserve">re further relevant knowledge. </w:t>
      </w:r>
    </w:p>
    <w:p w14:paraId="4623ACE1" w14:textId="77777777" w:rsidR="00A81007" w:rsidRPr="00A81007" w:rsidRDefault="00A81007" w:rsidP="00A81007">
      <w:pPr>
        <w:pStyle w:val="ListParagraph"/>
        <w:spacing w:after="0" w:line="240" w:lineRule="auto"/>
        <w:ind w:left="360"/>
        <w:rPr>
          <w:sz w:val="24"/>
          <w:szCs w:val="24"/>
        </w:rPr>
      </w:pPr>
    </w:p>
    <w:p w14:paraId="61AC0303" w14:textId="77777777" w:rsidR="00A81007" w:rsidRPr="00A81007" w:rsidRDefault="00A81007" w:rsidP="00A81007">
      <w:pPr>
        <w:pStyle w:val="ListParagraph"/>
        <w:numPr>
          <w:ilvl w:val="1"/>
          <w:numId w:val="48"/>
        </w:numPr>
        <w:spacing w:after="0" w:line="240" w:lineRule="auto"/>
        <w:rPr>
          <w:sz w:val="24"/>
          <w:szCs w:val="24"/>
        </w:rPr>
      </w:pPr>
      <w:r w:rsidRPr="00A81007">
        <w:rPr>
          <w:rFonts w:ascii="Calibri" w:eastAsia="Times New Roman" w:hAnsi="Calibri" w:cs="Calibri"/>
          <w:color w:val="000000"/>
          <w:sz w:val="24"/>
          <w:szCs w:val="24"/>
          <w:lang w:eastAsia="en-AU"/>
        </w:rPr>
        <w:t>K</w:t>
      </w:r>
      <w:r w:rsidR="00AB0299" w:rsidRPr="00A81007">
        <w:rPr>
          <w:rFonts w:ascii="Calibri" w:eastAsia="Times New Roman" w:hAnsi="Calibri" w:cs="Calibri"/>
          <w:color w:val="000000"/>
          <w:sz w:val="24"/>
          <w:szCs w:val="24"/>
          <w:lang w:eastAsia="en-AU"/>
        </w:rPr>
        <w:t>nowledge of t</w:t>
      </w:r>
      <w:r w:rsidR="0050120A" w:rsidRPr="00A81007">
        <w:rPr>
          <w:rFonts w:ascii="Calibri" w:eastAsia="Times New Roman" w:hAnsi="Calibri" w:cs="Calibri"/>
          <w:color w:val="000000"/>
          <w:sz w:val="24"/>
          <w:szCs w:val="24"/>
          <w:lang w:eastAsia="en-AU"/>
        </w:rPr>
        <w:t>he interests of various stakeholders</w:t>
      </w:r>
      <w:r w:rsidR="00D106BA" w:rsidRPr="00A81007">
        <w:rPr>
          <w:rFonts w:ascii="Calibri" w:eastAsia="Times New Roman" w:hAnsi="Calibri" w:cs="Calibri"/>
          <w:color w:val="000000"/>
          <w:sz w:val="24"/>
          <w:szCs w:val="24"/>
          <w:lang w:eastAsia="en-AU"/>
        </w:rPr>
        <w:t>, both internal and external to the workplace, clinical and non-clinical,</w:t>
      </w:r>
      <w:r w:rsidR="0050120A" w:rsidRPr="00A81007">
        <w:rPr>
          <w:rFonts w:ascii="Calibri" w:eastAsia="Times New Roman" w:hAnsi="Calibri" w:cs="Calibri"/>
          <w:color w:val="000000"/>
          <w:sz w:val="24"/>
          <w:szCs w:val="24"/>
          <w:lang w:eastAsia="en-AU"/>
        </w:rPr>
        <w:t xml:space="preserve"> in the occupational rehabilitation context</w:t>
      </w:r>
      <w:r w:rsidR="00154E90">
        <w:rPr>
          <w:rFonts w:ascii="Calibri" w:eastAsia="Times New Roman" w:hAnsi="Calibri" w:cs="Calibri"/>
          <w:color w:val="000000"/>
          <w:sz w:val="24"/>
          <w:szCs w:val="24"/>
          <w:lang w:eastAsia="en-AU"/>
        </w:rPr>
        <w:t>.</w:t>
      </w:r>
    </w:p>
    <w:p w14:paraId="1EFC6AAD" w14:textId="77777777" w:rsidR="00A81007" w:rsidRPr="00A81007" w:rsidRDefault="00A81007" w:rsidP="00A81007">
      <w:pPr>
        <w:pStyle w:val="ListParagraph"/>
        <w:rPr>
          <w:rFonts w:ascii="Calibri" w:eastAsia="Times New Roman" w:hAnsi="Calibri" w:cs="Calibri"/>
          <w:color w:val="000000"/>
          <w:sz w:val="24"/>
          <w:szCs w:val="24"/>
          <w:lang w:eastAsia="en-AU"/>
        </w:rPr>
      </w:pPr>
    </w:p>
    <w:p w14:paraId="5495277E" w14:textId="77777777" w:rsidR="004D7C8A" w:rsidRPr="00A81007" w:rsidRDefault="00A81007" w:rsidP="00A81007">
      <w:pPr>
        <w:pStyle w:val="ListParagraph"/>
        <w:numPr>
          <w:ilvl w:val="1"/>
          <w:numId w:val="48"/>
        </w:numPr>
        <w:spacing w:after="0" w:line="240" w:lineRule="auto"/>
        <w:rPr>
          <w:sz w:val="24"/>
          <w:szCs w:val="24"/>
        </w:rPr>
      </w:pPr>
      <w:r>
        <w:rPr>
          <w:rFonts w:ascii="Calibri" w:eastAsia="Times New Roman" w:hAnsi="Calibri" w:cs="Calibri"/>
          <w:color w:val="000000"/>
          <w:sz w:val="24"/>
          <w:szCs w:val="24"/>
          <w:lang w:eastAsia="en-AU"/>
        </w:rPr>
        <w:lastRenderedPageBreak/>
        <w:t>Knowledge of best practice principles in</w:t>
      </w:r>
      <w:r w:rsidR="00AB0299" w:rsidRPr="00A81007">
        <w:rPr>
          <w:rFonts w:ascii="Calibri" w:eastAsia="Times New Roman" w:hAnsi="Calibri" w:cs="Calibri"/>
          <w:color w:val="000000"/>
          <w:sz w:val="24"/>
          <w:szCs w:val="24"/>
          <w:lang w:eastAsia="en-AU"/>
        </w:rPr>
        <w:t xml:space="preserve"> </w:t>
      </w:r>
      <w:r w:rsidR="0033043A">
        <w:rPr>
          <w:rFonts w:ascii="Calibri" w:eastAsia="Times New Roman" w:hAnsi="Calibri" w:cs="Calibri"/>
          <w:color w:val="000000"/>
          <w:sz w:val="24"/>
          <w:szCs w:val="24"/>
          <w:lang w:eastAsia="en-AU"/>
        </w:rPr>
        <w:t xml:space="preserve">undertaking </w:t>
      </w:r>
      <w:r w:rsidR="00834EB1">
        <w:rPr>
          <w:rFonts w:ascii="Calibri" w:eastAsia="Times New Roman" w:hAnsi="Calibri" w:cs="Calibri"/>
          <w:color w:val="000000"/>
          <w:sz w:val="24"/>
          <w:szCs w:val="24"/>
          <w:lang w:eastAsia="en-AU"/>
        </w:rPr>
        <w:t>pre-employment screening and</w:t>
      </w:r>
      <w:r w:rsidR="00542731" w:rsidRPr="00A81007">
        <w:rPr>
          <w:rFonts w:ascii="Calibri" w:eastAsia="Times New Roman" w:hAnsi="Calibri" w:cs="Calibri"/>
          <w:color w:val="000000"/>
          <w:sz w:val="24"/>
          <w:szCs w:val="24"/>
          <w:lang w:eastAsia="en-AU"/>
        </w:rPr>
        <w:t xml:space="preserve"> job </w:t>
      </w:r>
      <w:r w:rsidR="00DD0946" w:rsidRPr="00A81007">
        <w:rPr>
          <w:rFonts w:ascii="Calibri" w:eastAsia="Times New Roman" w:hAnsi="Calibri" w:cs="Calibri"/>
          <w:color w:val="000000"/>
          <w:sz w:val="24"/>
          <w:szCs w:val="24"/>
          <w:lang w:eastAsia="en-AU"/>
        </w:rPr>
        <w:t>capability</w:t>
      </w:r>
      <w:r w:rsidR="00542731" w:rsidRPr="00A81007">
        <w:rPr>
          <w:rFonts w:ascii="Calibri" w:eastAsia="Times New Roman" w:hAnsi="Calibri" w:cs="Calibri"/>
          <w:color w:val="000000"/>
          <w:sz w:val="24"/>
          <w:szCs w:val="24"/>
          <w:lang w:eastAsia="en-AU"/>
        </w:rPr>
        <w:t xml:space="preserve"> assessments</w:t>
      </w:r>
      <w:r w:rsidR="00154E90">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w:t>
      </w:r>
    </w:p>
    <w:p w14:paraId="7918F2E6" w14:textId="77777777" w:rsidR="00A81007" w:rsidRPr="00A81007" w:rsidRDefault="00A81007" w:rsidP="00A81007">
      <w:pPr>
        <w:pStyle w:val="ListParagraph"/>
        <w:rPr>
          <w:sz w:val="24"/>
          <w:szCs w:val="24"/>
        </w:rPr>
      </w:pPr>
    </w:p>
    <w:p w14:paraId="4D2B517F" w14:textId="77777777" w:rsidR="004A1DD9" w:rsidRPr="004A1DD9" w:rsidRDefault="00A81007" w:rsidP="00A81007">
      <w:pPr>
        <w:pStyle w:val="ListParagraph"/>
        <w:numPr>
          <w:ilvl w:val="1"/>
          <w:numId w:val="48"/>
        </w:numPr>
        <w:spacing w:after="0" w:line="240" w:lineRule="auto"/>
        <w:rPr>
          <w:sz w:val="24"/>
          <w:szCs w:val="24"/>
        </w:rPr>
      </w:pPr>
      <w:r>
        <w:rPr>
          <w:rFonts w:ascii="Calibri" w:eastAsia="Times New Roman" w:hAnsi="Calibri" w:cs="Calibri"/>
          <w:color w:val="000000"/>
          <w:sz w:val="24"/>
          <w:szCs w:val="24"/>
          <w:lang w:eastAsia="en-AU"/>
        </w:rPr>
        <w:t>K</w:t>
      </w:r>
      <w:r w:rsidR="00954565" w:rsidRPr="00A81007">
        <w:rPr>
          <w:rFonts w:ascii="Calibri" w:eastAsia="Times New Roman" w:hAnsi="Calibri" w:cs="Calibri"/>
          <w:color w:val="000000"/>
          <w:sz w:val="24"/>
          <w:szCs w:val="24"/>
          <w:lang w:eastAsia="en-AU"/>
        </w:rPr>
        <w:t>nowledge of the role of occupational rehabilitation</w:t>
      </w:r>
      <w:r>
        <w:rPr>
          <w:rFonts w:ascii="Calibri" w:eastAsia="Times New Roman" w:hAnsi="Calibri" w:cs="Calibri"/>
          <w:color w:val="000000"/>
          <w:sz w:val="24"/>
          <w:szCs w:val="24"/>
          <w:lang w:eastAsia="en-AU"/>
        </w:rPr>
        <w:t xml:space="preserve"> equipment, aids, appliances,</w:t>
      </w:r>
      <w:r w:rsidR="00954565" w:rsidRPr="00A81007">
        <w:rPr>
          <w:rFonts w:ascii="Calibri" w:eastAsia="Times New Roman" w:hAnsi="Calibri" w:cs="Calibri"/>
          <w:color w:val="000000"/>
          <w:sz w:val="24"/>
          <w:szCs w:val="24"/>
          <w:lang w:eastAsia="en-AU"/>
        </w:rPr>
        <w:t xml:space="preserve"> their appropriateness and efficacy</w:t>
      </w:r>
      <w:r w:rsidR="002F539D" w:rsidRPr="00A81007">
        <w:rPr>
          <w:rFonts w:ascii="Calibri" w:eastAsia="Times New Roman" w:hAnsi="Calibri" w:cs="Calibri"/>
          <w:color w:val="000000"/>
          <w:sz w:val="24"/>
          <w:szCs w:val="24"/>
          <w:lang w:eastAsia="en-AU"/>
        </w:rPr>
        <w:t xml:space="preserve"> in occupational rei</w:t>
      </w:r>
      <w:r w:rsidR="004A1DD9">
        <w:rPr>
          <w:rFonts w:ascii="Calibri" w:eastAsia="Times New Roman" w:hAnsi="Calibri" w:cs="Calibri"/>
          <w:color w:val="000000"/>
          <w:sz w:val="24"/>
          <w:szCs w:val="24"/>
          <w:lang w:eastAsia="en-AU"/>
        </w:rPr>
        <w:t>ntegration. This would include:</w:t>
      </w:r>
    </w:p>
    <w:p w14:paraId="11E25D5D" w14:textId="77777777" w:rsidR="004A1DD9" w:rsidRPr="004A1DD9" w:rsidRDefault="004A1DD9" w:rsidP="004A1DD9">
      <w:pPr>
        <w:pStyle w:val="ListParagraph"/>
        <w:rPr>
          <w:rFonts w:ascii="Calibri" w:eastAsia="Times New Roman" w:hAnsi="Calibri" w:cs="Calibri"/>
          <w:color w:val="000000"/>
          <w:sz w:val="24"/>
          <w:szCs w:val="24"/>
          <w:lang w:eastAsia="en-AU"/>
        </w:rPr>
      </w:pPr>
    </w:p>
    <w:p w14:paraId="342485AA" w14:textId="77777777" w:rsidR="004A1DD9" w:rsidRPr="004A1DD9" w:rsidRDefault="004A1DD9" w:rsidP="004A1DD9">
      <w:pPr>
        <w:pStyle w:val="ListParagraph"/>
        <w:numPr>
          <w:ilvl w:val="0"/>
          <w:numId w:val="37"/>
        </w:numPr>
        <w:rPr>
          <w:sz w:val="24"/>
          <w:szCs w:val="24"/>
        </w:rPr>
      </w:pPr>
      <w:r>
        <w:rPr>
          <w:rFonts w:ascii="Calibri" w:eastAsia="Times New Roman" w:hAnsi="Calibri" w:cs="Calibri"/>
          <w:color w:val="000000"/>
          <w:sz w:val="24"/>
          <w:szCs w:val="24"/>
          <w:lang w:eastAsia="en-AU"/>
        </w:rPr>
        <w:t>K</w:t>
      </w:r>
      <w:r w:rsidR="002F539D" w:rsidRPr="00A81007">
        <w:rPr>
          <w:rFonts w:ascii="Calibri" w:eastAsia="Times New Roman" w:hAnsi="Calibri" w:cs="Calibri"/>
          <w:color w:val="000000"/>
          <w:sz w:val="24"/>
          <w:szCs w:val="24"/>
          <w:lang w:eastAsia="en-AU"/>
        </w:rPr>
        <w:t>nowledge of physiological indicators</w:t>
      </w:r>
      <w:r>
        <w:rPr>
          <w:rFonts w:ascii="Calibri" w:eastAsia="Times New Roman" w:hAnsi="Calibri" w:cs="Calibri"/>
          <w:color w:val="000000"/>
          <w:sz w:val="24"/>
          <w:szCs w:val="24"/>
          <w:lang w:eastAsia="en-AU"/>
        </w:rPr>
        <w:t xml:space="preserve"> that would indicate</w:t>
      </w:r>
      <w:r w:rsidR="002F539D" w:rsidRPr="00A81007">
        <w:rPr>
          <w:rFonts w:ascii="Calibri" w:eastAsia="Times New Roman" w:hAnsi="Calibri" w:cs="Calibri"/>
          <w:color w:val="000000"/>
          <w:sz w:val="24"/>
          <w:szCs w:val="24"/>
          <w:lang w:eastAsia="en-AU"/>
        </w:rPr>
        <w:t xml:space="preserve"> need for support</w:t>
      </w:r>
      <w:r>
        <w:rPr>
          <w:rFonts w:ascii="Calibri" w:eastAsia="Times New Roman" w:hAnsi="Calibri" w:cs="Calibri"/>
          <w:color w:val="000000"/>
          <w:sz w:val="24"/>
          <w:szCs w:val="24"/>
          <w:lang w:eastAsia="en-AU"/>
        </w:rPr>
        <w:t xml:space="preserve"> equipment, aids, appliances</w:t>
      </w:r>
      <w:r w:rsidR="004F4F3B">
        <w:rPr>
          <w:rFonts w:ascii="Calibri" w:eastAsia="Times New Roman" w:hAnsi="Calibri" w:cs="Calibri"/>
          <w:color w:val="000000"/>
          <w:sz w:val="24"/>
          <w:szCs w:val="24"/>
          <w:lang w:eastAsia="en-AU"/>
        </w:rPr>
        <w:t>.</w:t>
      </w:r>
    </w:p>
    <w:p w14:paraId="78288C2B" w14:textId="77777777" w:rsidR="004A1DD9" w:rsidRPr="004A1DD9" w:rsidRDefault="004A1DD9" w:rsidP="004A1DD9">
      <w:pPr>
        <w:pStyle w:val="ListParagraph"/>
        <w:ind w:left="1440"/>
        <w:rPr>
          <w:sz w:val="24"/>
          <w:szCs w:val="24"/>
        </w:rPr>
      </w:pPr>
    </w:p>
    <w:p w14:paraId="46963D6A" w14:textId="77777777" w:rsidR="00154E90" w:rsidRPr="00154E90" w:rsidRDefault="004A1DD9" w:rsidP="00154E90">
      <w:pPr>
        <w:pStyle w:val="ListParagraph"/>
        <w:numPr>
          <w:ilvl w:val="0"/>
          <w:numId w:val="37"/>
        </w:numPr>
        <w:rPr>
          <w:sz w:val="24"/>
          <w:szCs w:val="24"/>
        </w:rPr>
      </w:pPr>
      <w:r>
        <w:rPr>
          <w:rFonts w:ascii="Calibri" w:eastAsia="Times New Roman" w:hAnsi="Calibri" w:cs="Calibri"/>
          <w:color w:val="000000"/>
          <w:sz w:val="24"/>
          <w:szCs w:val="24"/>
          <w:lang w:eastAsia="en-AU"/>
        </w:rPr>
        <w:t>Knowledge of i</w:t>
      </w:r>
      <w:r w:rsidR="002F539D" w:rsidRPr="00A81007">
        <w:rPr>
          <w:rFonts w:ascii="Calibri" w:eastAsia="Times New Roman" w:hAnsi="Calibri" w:cs="Calibri"/>
          <w:color w:val="000000"/>
          <w:sz w:val="24"/>
          <w:szCs w:val="24"/>
          <w:lang w:eastAsia="en-AU"/>
        </w:rPr>
        <w:t>ndicators contraindicative to equipment use/prescription</w:t>
      </w:r>
      <w:r w:rsidR="00BD7287" w:rsidRPr="00A81007">
        <w:rPr>
          <w:rFonts w:ascii="Calibri" w:eastAsia="Times New Roman" w:hAnsi="Calibri" w:cs="Calibri"/>
          <w:color w:val="000000"/>
          <w:sz w:val="24"/>
          <w:szCs w:val="24"/>
          <w:lang w:eastAsia="en-AU"/>
        </w:rPr>
        <w:t>; as well as of alternative evide</w:t>
      </w:r>
      <w:r w:rsidR="00AB0299" w:rsidRPr="00A81007">
        <w:rPr>
          <w:rFonts w:ascii="Calibri" w:eastAsia="Times New Roman" w:hAnsi="Calibri" w:cs="Calibri"/>
          <w:color w:val="000000"/>
          <w:sz w:val="24"/>
          <w:szCs w:val="24"/>
          <w:lang w:eastAsia="en-AU"/>
        </w:rPr>
        <w:t>nce informed intervention approaches</w:t>
      </w:r>
      <w:r w:rsidR="00BD7287" w:rsidRPr="00A81007">
        <w:rPr>
          <w:rFonts w:ascii="Calibri" w:eastAsia="Times New Roman" w:hAnsi="Calibri" w:cs="Calibri"/>
          <w:color w:val="000000"/>
          <w:sz w:val="24"/>
          <w:szCs w:val="24"/>
          <w:lang w:eastAsia="en-AU"/>
        </w:rPr>
        <w:t xml:space="preserve">. </w:t>
      </w:r>
    </w:p>
    <w:p w14:paraId="0CBEE5A6" w14:textId="77777777" w:rsidR="00154E90" w:rsidRPr="00154E90" w:rsidRDefault="00154E90" w:rsidP="00154E90">
      <w:pPr>
        <w:pStyle w:val="ListParagraph"/>
        <w:ind w:left="1440"/>
        <w:rPr>
          <w:sz w:val="24"/>
          <w:szCs w:val="24"/>
        </w:rPr>
      </w:pPr>
    </w:p>
    <w:p w14:paraId="127CD87D" w14:textId="77777777" w:rsidR="004F4F3B" w:rsidRDefault="004F4F3B" w:rsidP="004F4F3B">
      <w:pPr>
        <w:pStyle w:val="ListParagraph"/>
        <w:numPr>
          <w:ilvl w:val="1"/>
          <w:numId w:val="48"/>
        </w:numPr>
        <w:spacing w:after="0" w:line="240" w:lineRule="auto"/>
        <w:rPr>
          <w:sz w:val="24"/>
          <w:szCs w:val="24"/>
        </w:rPr>
      </w:pPr>
      <w:r>
        <w:rPr>
          <w:sz w:val="24"/>
          <w:szCs w:val="24"/>
        </w:rPr>
        <w:t>Knowledge</w:t>
      </w:r>
      <w:r w:rsidR="00154E90">
        <w:rPr>
          <w:sz w:val="24"/>
          <w:szCs w:val="24"/>
        </w:rPr>
        <w:t xml:space="preserve"> of</w:t>
      </w:r>
      <w:r w:rsidR="00BF15D6">
        <w:rPr>
          <w:sz w:val="24"/>
          <w:szCs w:val="24"/>
        </w:rPr>
        <w:t xml:space="preserve"> </w:t>
      </w:r>
      <w:r w:rsidR="00F406C5">
        <w:rPr>
          <w:sz w:val="24"/>
          <w:szCs w:val="24"/>
        </w:rPr>
        <w:t>assessment</w:t>
      </w:r>
      <w:r w:rsidR="00834EB1">
        <w:rPr>
          <w:sz w:val="24"/>
          <w:szCs w:val="24"/>
        </w:rPr>
        <w:t xml:space="preserve"> tools</w:t>
      </w:r>
      <w:r w:rsidR="00BF15D6">
        <w:rPr>
          <w:sz w:val="24"/>
          <w:szCs w:val="24"/>
        </w:rPr>
        <w:t xml:space="preserve"> and</w:t>
      </w:r>
      <w:r w:rsidR="00F406C5">
        <w:rPr>
          <w:sz w:val="24"/>
          <w:szCs w:val="24"/>
        </w:rPr>
        <w:t xml:space="preserve"> </w:t>
      </w:r>
      <w:r>
        <w:rPr>
          <w:sz w:val="24"/>
          <w:szCs w:val="24"/>
        </w:rPr>
        <w:t xml:space="preserve">outcome measures </w:t>
      </w:r>
      <w:r w:rsidR="00BF15D6">
        <w:rPr>
          <w:sz w:val="24"/>
          <w:szCs w:val="24"/>
        </w:rPr>
        <w:t>relevant to</w:t>
      </w:r>
      <w:r w:rsidR="00550FBB">
        <w:rPr>
          <w:sz w:val="24"/>
          <w:szCs w:val="24"/>
        </w:rPr>
        <w:t xml:space="preserve"> review</w:t>
      </w:r>
      <w:r w:rsidR="00BF15D6">
        <w:rPr>
          <w:sz w:val="24"/>
          <w:szCs w:val="24"/>
        </w:rPr>
        <w:t xml:space="preserve"> of equipment </w:t>
      </w:r>
      <w:r w:rsidR="00550FBB">
        <w:rPr>
          <w:sz w:val="24"/>
          <w:szCs w:val="24"/>
        </w:rPr>
        <w:t>efficacy</w:t>
      </w:r>
      <w:r w:rsidR="00795CE8">
        <w:rPr>
          <w:sz w:val="24"/>
          <w:szCs w:val="24"/>
        </w:rPr>
        <w:t xml:space="preserve"> for clients</w:t>
      </w:r>
      <w:r w:rsidR="00550FBB">
        <w:rPr>
          <w:sz w:val="24"/>
          <w:szCs w:val="24"/>
        </w:rPr>
        <w:t xml:space="preserve">. </w:t>
      </w:r>
    </w:p>
    <w:p w14:paraId="5A89FC50" w14:textId="77777777" w:rsidR="008C7DF3" w:rsidRDefault="008C7DF3" w:rsidP="008C7DF3">
      <w:pPr>
        <w:pStyle w:val="ListParagraph"/>
        <w:spacing w:after="0" w:line="240" w:lineRule="auto"/>
        <w:ind w:left="360"/>
        <w:rPr>
          <w:sz w:val="24"/>
          <w:szCs w:val="24"/>
        </w:rPr>
      </w:pPr>
    </w:p>
    <w:p w14:paraId="7AA17F25" w14:textId="77777777" w:rsidR="008C7DF3" w:rsidRDefault="008C7DF3" w:rsidP="004F4F3B">
      <w:pPr>
        <w:pStyle w:val="ListParagraph"/>
        <w:numPr>
          <w:ilvl w:val="1"/>
          <w:numId w:val="48"/>
        </w:numPr>
        <w:spacing w:after="0" w:line="240" w:lineRule="auto"/>
        <w:rPr>
          <w:sz w:val="24"/>
          <w:szCs w:val="24"/>
        </w:rPr>
      </w:pPr>
      <w:r w:rsidRPr="008C7DF3">
        <w:rPr>
          <w:sz w:val="24"/>
          <w:szCs w:val="24"/>
        </w:rPr>
        <w:t xml:space="preserve">Knowledge of principles in </w:t>
      </w:r>
      <w:r>
        <w:rPr>
          <w:sz w:val="24"/>
          <w:szCs w:val="24"/>
        </w:rPr>
        <w:t>the development of occupational rehabilitation reports for various stakeholders.</w:t>
      </w:r>
    </w:p>
    <w:p w14:paraId="2097B8D6" w14:textId="77777777" w:rsidR="005D1C86" w:rsidRDefault="005D1C86" w:rsidP="00F944F9">
      <w:pPr>
        <w:rPr>
          <w:sz w:val="24"/>
          <w:szCs w:val="24"/>
        </w:rPr>
      </w:pPr>
    </w:p>
    <w:p w14:paraId="779AB019" w14:textId="77777777" w:rsidR="007A3A9F" w:rsidRPr="007A3A9F" w:rsidRDefault="007A3A9F" w:rsidP="007A3A9F">
      <w:pPr>
        <w:pStyle w:val="Heading2"/>
      </w:pPr>
      <w:r w:rsidRPr="007A3A9F">
        <w:t>Occupational rehabilitation reasoning in practice</w:t>
      </w:r>
    </w:p>
    <w:p w14:paraId="04629E6E" w14:textId="77777777" w:rsidR="007A3A9F" w:rsidRDefault="007A3A9F" w:rsidP="00F944F9">
      <w:pPr>
        <w:rPr>
          <w:sz w:val="24"/>
          <w:szCs w:val="24"/>
          <w:highlight w:val="yellow"/>
        </w:rPr>
      </w:pPr>
    </w:p>
    <w:p w14:paraId="56649270" w14:textId="77777777" w:rsidR="000F5F8B" w:rsidRDefault="004B6CCB" w:rsidP="00F944F9">
      <w:pPr>
        <w:rPr>
          <w:sz w:val="24"/>
          <w:szCs w:val="24"/>
        </w:rPr>
      </w:pPr>
      <w:r>
        <w:rPr>
          <w:sz w:val="24"/>
          <w:szCs w:val="24"/>
        </w:rPr>
        <w:t xml:space="preserve">Advanced practice (titled) members of the Occupational Health CPG for occupational rehabilitation demonstrate experience in </w:t>
      </w:r>
      <w:r w:rsidR="004B3531">
        <w:rPr>
          <w:sz w:val="24"/>
          <w:szCs w:val="24"/>
        </w:rPr>
        <w:t>providing</w:t>
      </w:r>
      <w:r>
        <w:rPr>
          <w:sz w:val="24"/>
          <w:szCs w:val="24"/>
        </w:rPr>
        <w:t xml:space="preserve"> </w:t>
      </w:r>
      <w:r w:rsidR="001E5581">
        <w:rPr>
          <w:sz w:val="24"/>
          <w:szCs w:val="24"/>
        </w:rPr>
        <w:t>aligned</w:t>
      </w:r>
      <w:r>
        <w:rPr>
          <w:sz w:val="24"/>
          <w:szCs w:val="24"/>
        </w:rPr>
        <w:t xml:space="preserve"> s</w:t>
      </w:r>
      <w:r w:rsidR="001E5581">
        <w:rPr>
          <w:sz w:val="24"/>
          <w:szCs w:val="24"/>
        </w:rPr>
        <w:t>ervices</w:t>
      </w:r>
      <w:r>
        <w:rPr>
          <w:sz w:val="24"/>
          <w:szCs w:val="24"/>
        </w:rPr>
        <w:t xml:space="preserve"> </w:t>
      </w:r>
      <w:r w:rsidR="004B3531">
        <w:rPr>
          <w:sz w:val="24"/>
          <w:szCs w:val="24"/>
        </w:rPr>
        <w:t>to clients and workplaces</w:t>
      </w:r>
      <w:r w:rsidR="000F5F8B">
        <w:rPr>
          <w:sz w:val="24"/>
          <w:szCs w:val="24"/>
        </w:rPr>
        <w:t xml:space="preserve"> as an approved provider within a </w:t>
      </w:r>
      <w:proofErr w:type="gramStart"/>
      <w:r w:rsidR="000F5F8B">
        <w:rPr>
          <w:sz w:val="24"/>
          <w:szCs w:val="24"/>
        </w:rPr>
        <w:t>scheme</w:t>
      </w:r>
      <w:r w:rsidR="00E44976">
        <w:rPr>
          <w:sz w:val="24"/>
          <w:szCs w:val="24"/>
        </w:rPr>
        <w:t>,</w:t>
      </w:r>
      <w:r w:rsidR="0043062E">
        <w:rPr>
          <w:sz w:val="24"/>
          <w:szCs w:val="24"/>
        </w:rPr>
        <w:t xml:space="preserve"> </w:t>
      </w:r>
      <w:r w:rsidR="004B3531">
        <w:rPr>
          <w:sz w:val="24"/>
          <w:szCs w:val="24"/>
        </w:rPr>
        <w:t>or</w:t>
      </w:r>
      <w:proofErr w:type="gramEnd"/>
      <w:r w:rsidR="004B3531">
        <w:rPr>
          <w:sz w:val="24"/>
          <w:szCs w:val="24"/>
        </w:rPr>
        <w:t xml:space="preserve"> demonstrate</w:t>
      </w:r>
      <w:r w:rsidR="008049B1">
        <w:rPr>
          <w:sz w:val="24"/>
          <w:szCs w:val="24"/>
        </w:rPr>
        <w:t xml:space="preserve"> application </w:t>
      </w:r>
      <w:r w:rsidR="005107A9">
        <w:rPr>
          <w:sz w:val="24"/>
          <w:szCs w:val="24"/>
        </w:rPr>
        <w:t>of related skillsets i</w:t>
      </w:r>
      <w:r w:rsidR="00A065C8">
        <w:rPr>
          <w:sz w:val="24"/>
          <w:szCs w:val="24"/>
        </w:rPr>
        <w:t>n</w:t>
      </w:r>
      <w:r w:rsidR="00E44976">
        <w:rPr>
          <w:sz w:val="24"/>
          <w:szCs w:val="24"/>
        </w:rPr>
        <w:t xml:space="preserve"> private</w:t>
      </w:r>
      <w:r w:rsidR="000F5F8B">
        <w:rPr>
          <w:sz w:val="24"/>
          <w:szCs w:val="24"/>
        </w:rPr>
        <w:t xml:space="preserve"> consultations with </w:t>
      </w:r>
      <w:r w:rsidR="008049B1">
        <w:rPr>
          <w:sz w:val="24"/>
          <w:szCs w:val="24"/>
        </w:rPr>
        <w:t>injured and/or recovering</w:t>
      </w:r>
      <w:r w:rsidR="000F5F8B">
        <w:rPr>
          <w:sz w:val="24"/>
          <w:szCs w:val="24"/>
        </w:rPr>
        <w:t xml:space="preserve"> clients </w:t>
      </w:r>
      <w:r w:rsidR="00797068">
        <w:rPr>
          <w:sz w:val="24"/>
          <w:szCs w:val="24"/>
        </w:rPr>
        <w:t xml:space="preserve">and </w:t>
      </w:r>
      <w:r w:rsidR="00703AC2">
        <w:rPr>
          <w:sz w:val="24"/>
          <w:szCs w:val="24"/>
        </w:rPr>
        <w:t xml:space="preserve">their </w:t>
      </w:r>
      <w:r w:rsidR="00797068">
        <w:rPr>
          <w:sz w:val="24"/>
          <w:szCs w:val="24"/>
        </w:rPr>
        <w:t>workplaces</w:t>
      </w:r>
      <w:r w:rsidR="000F5F8B">
        <w:rPr>
          <w:sz w:val="24"/>
          <w:szCs w:val="24"/>
        </w:rPr>
        <w:t xml:space="preserve">. </w:t>
      </w:r>
    </w:p>
    <w:p w14:paraId="6B52C088" w14:textId="77777777" w:rsidR="00703AC2" w:rsidRDefault="00E44976" w:rsidP="00F944F9">
      <w:pPr>
        <w:rPr>
          <w:sz w:val="24"/>
          <w:szCs w:val="24"/>
        </w:rPr>
      </w:pPr>
      <w:r>
        <w:rPr>
          <w:sz w:val="24"/>
          <w:szCs w:val="24"/>
        </w:rPr>
        <w:t xml:space="preserve">These members demonstrate proficiency in developing a profile of </w:t>
      </w:r>
      <w:r w:rsidR="001E5581">
        <w:rPr>
          <w:sz w:val="24"/>
          <w:szCs w:val="24"/>
        </w:rPr>
        <w:t xml:space="preserve">the </w:t>
      </w:r>
      <w:r w:rsidR="00D21AE2">
        <w:rPr>
          <w:sz w:val="24"/>
          <w:szCs w:val="24"/>
        </w:rPr>
        <w:t>functional status</w:t>
      </w:r>
      <w:r w:rsidR="001E5581">
        <w:rPr>
          <w:sz w:val="24"/>
          <w:szCs w:val="24"/>
        </w:rPr>
        <w:t xml:space="preserve"> and work capacity of an injured worker based on attributed diagnoses, medical information</w:t>
      </w:r>
      <w:r w:rsidR="001F6F50">
        <w:rPr>
          <w:sz w:val="24"/>
          <w:szCs w:val="24"/>
        </w:rPr>
        <w:t>, certified work capacity</w:t>
      </w:r>
      <w:r w:rsidR="00581279">
        <w:rPr>
          <w:sz w:val="24"/>
          <w:szCs w:val="24"/>
        </w:rPr>
        <w:t>, observation</w:t>
      </w:r>
      <w:r w:rsidR="00E93987">
        <w:rPr>
          <w:sz w:val="24"/>
          <w:szCs w:val="24"/>
        </w:rPr>
        <w:t>s</w:t>
      </w:r>
      <w:r w:rsidR="00581279">
        <w:rPr>
          <w:sz w:val="24"/>
          <w:szCs w:val="24"/>
        </w:rPr>
        <w:t>,</w:t>
      </w:r>
      <w:r w:rsidR="00D21AE2">
        <w:rPr>
          <w:sz w:val="24"/>
          <w:szCs w:val="24"/>
        </w:rPr>
        <w:t xml:space="preserve"> activities of daily living</w:t>
      </w:r>
      <w:r w:rsidR="00E93987">
        <w:rPr>
          <w:sz w:val="24"/>
          <w:szCs w:val="24"/>
        </w:rPr>
        <w:t xml:space="preserve"> undertaken</w:t>
      </w:r>
      <w:r w:rsidR="00581279">
        <w:rPr>
          <w:sz w:val="24"/>
          <w:szCs w:val="24"/>
        </w:rPr>
        <w:t>,</w:t>
      </w:r>
      <w:r w:rsidR="001E5581">
        <w:rPr>
          <w:sz w:val="24"/>
          <w:szCs w:val="24"/>
        </w:rPr>
        <w:t xml:space="preserve"> and assessments </w:t>
      </w:r>
      <w:r w:rsidR="00E93987">
        <w:rPr>
          <w:sz w:val="24"/>
          <w:szCs w:val="24"/>
        </w:rPr>
        <w:t>performed</w:t>
      </w:r>
      <w:r w:rsidR="001F6F50">
        <w:rPr>
          <w:sz w:val="24"/>
          <w:szCs w:val="24"/>
        </w:rPr>
        <w:t>.</w:t>
      </w:r>
      <w:r w:rsidR="00581279">
        <w:rPr>
          <w:sz w:val="24"/>
          <w:szCs w:val="24"/>
        </w:rPr>
        <w:t xml:space="preserve"> </w:t>
      </w:r>
    </w:p>
    <w:p w14:paraId="60B1062F" w14:textId="77777777" w:rsidR="009D697D" w:rsidRDefault="00581279" w:rsidP="00F944F9">
      <w:pPr>
        <w:rPr>
          <w:sz w:val="24"/>
          <w:szCs w:val="24"/>
        </w:rPr>
      </w:pPr>
      <w:r>
        <w:rPr>
          <w:sz w:val="24"/>
          <w:szCs w:val="24"/>
        </w:rPr>
        <w:t>Referring to the demands of the pre-</w:t>
      </w:r>
      <w:r w:rsidR="0001402B">
        <w:rPr>
          <w:sz w:val="24"/>
          <w:szCs w:val="24"/>
        </w:rPr>
        <w:t xml:space="preserve">injury employment role or </w:t>
      </w:r>
      <w:r w:rsidR="00E93987">
        <w:rPr>
          <w:sz w:val="24"/>
          <w:szCs w:val="24"/>
        </w:rPr>
        <w:t>an</w:t>
      </w:r>
      <w:r w:rsidR="0001402B">
        <w:rPr>
          <w:sz w:val="24"/>
          <w:szCs w:val="24"/>
        </w:rPr>
        <w:t xml:space="preserve">other role, they undertake specific pre-employment assessments and develop a staged plan </w:t>
      </w:r>
      <w:r w:rsidR="00C06B2E">
        <w:rPr>
          <w:sz w:val="24"/>
          <w:szCs w:val="24"/>
        </w:rPr>
        <w:t>for rehabilitation</w:t>
      </w:r>
      <w:r w:rsidR="0001402B">
        <w:rPr>
          <w:sz w:val="24"/>
          <w:szCs w:val="24"/>
        </w:rPr>
        <w:t xml:space="preserve"> </w:t>
      </w:r>
      <w:r w:rsidR="009D697D">
        <w:rPr>
          <w:sz w:val="24"/>
          <w:szCs w:val="24"/>
        </w:rPr>
        <w:t>with</w:t>
      </w:r>
      <w:r w:rsidR="0001402B">
        <w:rPr>
          <w:sz w:val="24"/>
          <w:szCs w:val="24"/>
        </w:rPr>
        <w:t xml:space="preserve"> </w:t>
      </w:r>
      <w:r w:rsidR="00C06B2E">
        <w:rPr>
          <w:sz w:val="24"/>
          <w:szCs w:val="24"/>
        </w:rPr>
        <w:t xml:space="preserve">biopsychosocial intervention </w:t>
      </w:r>
      <w:r w:rsidR="0001402B">
        <w:rPr>
          <w:sz w:val="24"/>
          <w:szCs w:val="24"/>
        </w:rPr>
        <w:t xml:space="preserve">strategies </w:t>
      </w:r>
      <w:r w:rsidR="00E93987">
        <w:rPr>
          <w:sz w:val="24"/>
          <w:szCs w:val="24"/>
        </w:rPr>
        <w:t xml:space="preserve">for improvement of work abilities and wherever possible, gradual return to pre-injury role or work capacity. </w:t>
      </w:r>
    </w:p>
    <w:p w14:paraId="02471EC2" w14:textId="77777777" w:rsidR="00D33E16" w:rsidRDefault="001F6CD1" w:rsidP="00F05A27">
      <w:pPr>
        <w:rPr>
          <w:sz w:val="24"/>
          <w:szCs w:val="24"/>
        </w:rPr>
      </w:pPr>
      <w:r>
        <w:rPr>
          <w:sz w:val="24"/>
          <w:szCs w:val="24"/>
        </w:rPr>
        <w:t>These members demonstrate proficiency in</w:t>
      </w:r>
      <w:r w:rsidR="00497048">
        <w:rPr>
          <w:sz w:val="24"/>
          <w:szCs w:val="24"/>
        </w:rPr>
        <w:t xml:space="preserve"> </w:t>
      </w:r>
      <w:r w:rsidR="002155AA">
        <w:rPr>
          <w:sz w:val="24"/>
          <w:szCs w:val="24"/>
        </w:rPr>
        <w:t xml:space="preserve">developing rehabilitation programs </w:t>
      </w:r>
      <w:r w:rsidR="0022680A">
        <w:rPr>
          <w:sz w:val="24"/>
          <w:szCs w:val="24"/>
        </w:rPr>
        <w:t xml:space="preserve">that include a </w:t>
      </w:r>
      <w:r w:rsidR="002155AA">
        <w:rPr>
          <w:sz w:val="24"/>
          <w:szCs w:val="24"/>
        </w:rPr>
        <w:t xml:space="preserve">range of evidence and approaches. These members can develop programs incorporating </w:t>
      </w:r>
      <w:r w:rsidR="0001402B">
        <w:rPr>
          <w:sz w:val="24"/>
          <w:szCs w:val="24"/>
        </w:rPr>
        <w:t>evidence informed occupational injury guidelines,</w:t>
      </w:r>
      <w:r w:rsidR="002155AA">
        <w:rPr>
          <w:sz w:val="24"/>
          <w:szCs w:val="24"/>
        </w:rPr>
        <w:t xml:space="preserve"> gap analyses of treatment and management approaches used for a client,</w:t>
      </w:r>
      <w:r w:rsidR="00506CFA">
        <w:rPr>
          <w:sz w:val="24"/>
          <w:szCs w:val="24"/>
        </w:rPr>
        <w:t xml:space="preserve"> </w:t>
      </w:r>
      <w:r w:rsidR="002155AA">
        <w:rPr>
          <w:sz w:val="24"/>
          <w:szCs w:val="24"/>
        </w:rPr>
        <w:t>worksite</w:t>
      </w:r>
      <w:r w:rsidR="00506CFA">
        <w:rPr>
          <w:sz w:val="24"/>
          <w:szCs w:val="24"/>
        </w:rPr>
        <w:t xml:space="preserve"> resources</w:t>
      </w:r>
      <w:r w:rsidR="002155AA">
        <w:rPr>
          <w:sz w:val="24"/>
          <w:szCs w:val="24"/>
        </w:rPr>
        <w:t xml:space="preserve"> and duties available,</w:t>
      </w:r>
      <w:r w:rsidR="00506CFA">
        <w:rPr>
          <w:sz w:val="24"/>
          <w:szCs w:val="24"/>
        </w:rPr>
        <w:t xml:space="preserve"> tasks </w:t>
      </w:r>
      <w:r w:rsidR="002155AA">
        <w:rPr>
          <w:sz w:val="24"/>
          <w:szCs w:val="24"/>
        </w:rPr>
        <w:t xml:space="preserve">indicated </w:t>
      </w:r>
      <w:r w:rsidR="00506CFA">
        <w:rPr>
          <w:sz w:val="24"/>
          <w:szCs w:val="24"/>
        </w:rPr>
        <w:t>for increasing work capacity and recovery</w:t>
      </w:r>
      <w:r w:rsidR="002155AA">
        <w:rPr>
          <w:sz w:val="24"/>
          <w:szCs w:val="24"/>
        </w:rPr>
        <w:t xml:space="preserve"> of an injury</w:t>
      </w:r>
      <w:r w:rsidR="00506CFA">
        <w:rPr>
          <w:sz w:val="24"/>
          <w:szCs w:val="24"/>
        </w:rPr>
        <w:t xml:space="preserve">, </w:t>
      </w:r>
      <w:r w:rsidR="00497048">
        <w:rPr>
          <w:sz w:val="24"/>
          <w:szCs w:val="24"/>
        </w:rPr>
        <w:t xml:space="preserve">referral for broader </w:t>
      </w:r>
      <w:r w:rsidR="00C06B2E">
        <w:rPr>
          <w:sz w:val="24"/>
          <w:szCs w:val="24"/>
        </w:rPr>
        <w:t>allied health interventions,</w:t>
      </w:r>
      <w:r w:rsidR="0011313A">
        <w:rPr>
          <w:sz w:val="24"/>
          <w:szCs w:val="24"/>
        </w:rPr>
        <w:t xml:space="preserve"> </w:t>
      </w:r>
      <w:r w:rsidR="002155AA">
        <w:rPr>
          <w:sz w:val="24"/>
          <w:szCs w:val="24"/>
        </w:rPr>
        <w:t xml:space="preserve">and equipment. </w:t>
      </w:r>
      <w:r w:rsidR="00C06B2E">
        <w:rPr>
          <w:sz w:val="24"/>
          <w:szCs w:val="24"/>
        </w:rPr>
        <w:t xml:space="preserve">This broad biopsychosocial </w:t>
      </w:r>
      <w:r w:rsidR="00797068">
        <w:rPr>
          <w:sz w:val="24"/>
          <w:szCs w:val="24"/>
        </w:rPr>
        <w:t>and health science focus</w:t>
      </w:r>
      <w:r w:rsidR="00C06B2E">
        <w:rPr>
          <w:sz w:val="24"/>
          <w:szCs w:val="24"/>
        </w:rPr>
        <w:t xml:space="preserve"> in rehabilitation is what distinguishes advanced (titled) members of the occupational rehabilitation stream from advanced (titled) members in worksite injury management support. </w:t>
      </w:r>
      <w:r w:rsidR="00797068">
        <w:rPr>
          <w:sz w:val="24"/>
          <w:szCs w:val="24"/>
        </w:rPr>
        <w:t xml:space="preserve">Advanced practitioners in occupational </w:t>
      </w:r>
      <w:r w:rsidR="00506CFA">
        <w:rPr>
          <w:sz w:val="24"/>
          <w:szCs w:val="24"/>
        </w:rPr>
        <w:t>rehabilitation</w:t>
      </w:r>
      <w:r>
        <w:rPr>
          <w:sz w:val="24"/>
          <w:szCs w:val="24"/>
        </w:rPr>
        <w:t xml:space="preserve"> demonstrate an ability to revise rehabilitation plans</w:t>
      </w:r>
      <w:r w:rsidR="00497048">
        <w:rPr>
          <w:sz w:val="24"/>
          <w:szCs w:val="24"/>
        </w:rPr>
        <w:t xml:space="preserve"> and strategies </w:t>
      </w:r>
      <w:r w:rsidR="00506CFA">
        <w:rPr>
          <w:sz w:val="24"/>
          <w:szCs w:val="24"/>
        </w:rPr>
        <w:t>according to</w:t>
      </w:r>
      <w:r>
        <w:rPr>
          <w:sz w:val="24"/>
          <w:szCs w:val="24"/>
        </w:rPr>
        <w:t xml:space="preserve"> changes in the work capacity of a </w:t>
      </w:r>
      <w:r>
        <w:rPr>
          <w:sz w:val="24"/>
          <w:szCs w:val="24"/>
        </w:rPr>
        <w:lastRenderedPageBreak/>
        <w:t xml:space="preserve">client and </w:t>
      </w:r>
      <w:r w:rsidR="00703AC2">
        <w:rPr>
          <w:sz w:val="24"/>
          <w:szCs w:val="24"/>
        </w:rPr>
        <w:t>in accordance with</w:t>
      </w:r>
      <w:r>
        <w:rPr>
          <w:sz w:val="24"/>
          <w:szCs w:val="24"/>
        </w:rPr>
        <w:t xml:space="preserve"> </w:t>
      </w:r>
      <w:r w:rsidR="00D33E16">
        <w:rPr>
          <w:sz w:val="24"/>
          <w:szCs w:val="24"/>
        </w:rPr>
        <w:t xml:space="preserve">recognised </w:t>
      </w:r>
      <w:r>
        <w:rPr>
          <w:sz w:val="24"/>
          <w:szCs w:val="24"/>
        </w:rPr>
        <w:t xml:space="preserve">recovery rates </w:t>
      </w:r>
      <w:r w:rsidR="00455C5E">
        <w:rPr>
          <w:sz w:val="24"/>
          <w:szCs w:val="24"/>
        </w:rPr>
        <w:t>for</w:t>
      </w:r>
      <w:r>
        <w:rPr>
          <w:sz w:val="24"/>
          <w:szCs w:val="24"/>
        </w:rPr>
        <w:t xml:space="preserve"> an injury. </w:t>
      </w:r>
      <w:r w:rsidR="00506CFA">
        <w:rPr>
          <w:sz w:val="24"/>
          <w:szCs w:val="24"/>
        </w:rPr>
        <w:t xml:space="preserve">These members exemplify persuasive report writing skills for occupational rehabilitation recommendations </w:t>
      </w:r>
      <w:r w:rsidR="00D33E16">
        <w:rPr>
          <w:sz w:val="24"/>
          <w:szCs w:val="24"/>
        </w:rPr>
        <w:t>which</w:t>
      </w:r>
      <w:r w:rsidR="00506CFA">
        <w:rPr>
          <w:sz w:val="24"/>
          <w:szCs w:val="24"/>
        </w:rPr>
        <w:t xml:space="preserve"> justify strategies recommended in recovery outcomes</w:t>
      </w:r>
      <w:r w:rsidR="00497048">
        <w:rPr>
          <w:sz w:val="24"/>
          <w:szCs w:val="24"/>
        </w:rPr>
        <w:t xml:space="preserve"> and</w:t>
      </w:r>
      <w:r w:rsidR="00D33E16">
        <w:rPr>
          <w:sz w:val="24"/>
          <w:szCs w:val="24"/>
        </w:rPr>
        <w:t xml:space="preserve"> recovery</w:t>
      </w:r>
      <w:r w:rsidR="00497048">
        <w:rPr>
          <w:sz w:val="24"/>
          <w:szCs w:val="24"/>
        </w:rPr>
        <w:t xml:space="preserve"> milestones</w:t>
      </w:r>
      <w:r w:rsidR="002155AA">
        <w:rPr>
          <w:sz w:val="24"/>
          <w:szCs w:val="24"/>
        </w:rPr>
        <w:t xml:space="preserve"> reached</w:t>
      </w:r>
      <w:r w:rsidR="00506CFA">
        <w:rPr>
          <w:sz w:val="24"/>
          <w:szCs w:val="24"/>
        </w:rPr>
        <w:t xml:space="preserve">. </w:t>
      </w:r>
    </w:p>
    <w:p w14:paraId="7D73983E" w14:textId="77777777" w:rsidR="007563A2" w:rsidRPr="00F05A27" w:rsidRDefault="007563A2" w:rsidP="00F05A27">
      <w:pPr>
        <w:rPr>
          <w:sz w:val="24"/>
          <w:szCs w:val="24"/>
        </w:rPr>
      </w:pPr>
    </w:p>
    <w:p w14:paraId="56A48354" w14:textId="77777777" w:rsidR="002F539D" w:rsidRDefault="00DB65F7" w:rsidP="00F944F9">
      <w:pPr>
        <w:pStyle w:val="Heading2"/>
        <w:rPr>
          <w:rFonts w:eastAsia="Times New Roman"/>
          <w:lang w:eastAsia="en-AU"/>
        </w:rPr>
      </w:pPr>
      <w:r>
        <w:rPr>
          <w:rFonts w:eastAsia="Times New Roman"/>
          <w:lang w:eastAsia="en-AU"/>
        </w:rPr>
        <w:t>C</w:t>
      </w:r>
      <w:r w:rsidR="002F539D">
        <w:rPr>
          <w:rFonts w:eastAsia="Times New Roman"/>
          <w:lang w:eastAsia="en-AU"/>
        </w:rPr>
        <w:t>onsulting services for</w:t>
      </w:r>
      <w:r w:rsidR="002F539D" w:rsidRPr="002F539D">
        <w:rPr>
          <w:rFonts w:eastAsia="Times New Roman"/>
          <w:lang w:eastAsia="en-AU"/>
        </w:rPr>
        <w:t xml:space="preserve"> occupational injury prevention</w:t>
      </w:r>
      <w:r w:rsidR="002F539D">
        <w:rPr>
          <w:rFonts w:eastAsia="Times New Roman"/>
          <w:lang w:eastAsia="en-AU"/>
        </w:rPr>
        <w:t xml:space="preserve"> and workplace</w:t>
      </w:r>
      <w:r w:rsidR="00FC60BE">
        <w:rPr>
          <w:rFonts w:eastAsia="Times New Roman"/>
          <w:lang w:eastAsia="en-AU"/>
        </w:rPr>
        <w:t xml:space="preserve"> operational</w:t>
      </w:r>
      <w:r w:rsidR="002F539D">
        <w:rPr>
          <w:rFonts w:eastAsia="Times New Roman"/>
          <w:lang w:eastAsia="en-AU"/>
        </w:rPr>
        <w:t xml:space="preserve"> efficiency </w:t>
      </w:r>
    </w:p>
    <w:p w14:paraId="004F0137" w14:textId="77777777" w:rsidR="002F539D" w:rsidRDefault="002F539D" w:rsidP="002F539D">
      <w:pPr>
        <w:rPr>
          <w:lang w:eastAsia="en-AU"/>
        </w:rPr>
      </w:pPr>
    </w:p>
    <w:p w14:paraId="71EE4A55" w14:textId="77777777" w:rsidR="00F944F9" w:rsidRDefault="00F944F9" w:rsidP="002F539D">
      <w:pPr>
        <w:rPr>
          <w:sz w:val="24"/>
          <w:szCs w:val="24"/>
          <w:lang w:eastAsia="en-AU"/>
        </w:rPr>
      </w:pPr>
      <w:r>
        <w:rPr>
          <w:sz w:val="24"/>
          <w:szCs w:val="24"/>
          <w:lang w:eastAsia="en-AU"/>
        </w:rPr>
        <w:t xml:space="preserve">Other </w:t>
      </w:r>
      <w:r w:rsidR="006E04EC">
        <w:rPr>
          <w:sz w:val="24"/>
          <w:szCs w:val="24"/>
          <w:lang w:eastAsia="en-AU"/>
        </w:rPr>
        <w:t xml:space="preserve">advanced practice </w:t>
      </w:r>
      <w:r>
        <w:rPr>
          <w:sz w:val="24"/>
          <w:szCs w:val="24"/>
          <w:lang w:eastAsia="en-AU"/>
        </w:rPr>
        <w:t xml:space="preserve">members develop skillsets to advise workplaces on design factors at a systemic level. They would work effectively with </w:t>
      </w:r>
      <w:r w:rsidR="00654BB0">
        <w:rPr>
          <w:sz w:val="24"/>
          <w:szCs w:val="24"/>
          <w:lang w:eastAsia="en-AU"/>
        </w:rPr>
        <w:t xml:space="preserve">teams and other OHS professionals to identify changes that can be made to tasks and processes to prevent injury, facilitate neuro-musculoskeletal health, as well as operational efficiency. </w:t>
      </w:r>
    </w:p>
    <w:p w14:paraId="5DA6974A" w14:textId="77777777" w:rsidR="00F944F9" w:rsidRDefault="00F944F9" w:rsidP="009321C8">
      <w:pPr>
        <w:rPr>
          <w:sz w:val="24"/>
          <w:szCs w:val="24"/>
        </w:rPr>
      </w:pPr>
      <w:r>
        <w:rPr>
          <w:sz w:val="24"/>
          <w:szCs w:val="24"/>
        </w:rPr>
        <w:t xml:space="preserve">Osteopaths seeking standing at the </w:t>
      </w:r>
      <w:r w:rsidR="006E04EC">
        <w:rPr>
          <w:sz w:val="24"/>
          <w:szCs w:val="24"/>
        </w:rPr>
        <w:t>advanced practice</w:t>
      </w:r>
      <w:r w:rsidR="00731A98">
        <w:rPr>
          <w:sz w:val="24"/>
          <w:szCs w:val="24"/>
        </w:rPr>
        <w:t xml:space="preserve"> </w:t>
      </w:r>
      <w:r w:rsidR="006E04EC">
        <w:rPr>
          <w:sz w:val="24"/>
          <w:szCs w:val="24"/>
        </w:rPr>
        <w:t xml:space="preserve">level </w:t>
      </w:r>
      <w:r w:rsidR="00DB65F7">
        <w:rPr>
          <w:sz w:val="24"/>
          <w:szCs w:val="24"/>
        </w:rPr>
        <w:t>for workplace consultancy will require the following clinical reasoning and skillsets</w:t>
      </w:r>
    </w:p>
    <w:p w14:paraId="5B06D636" w14:textId="77777777" w:rsidR="009321C8" w:rsidRPr="009321C8" w:rsidRDefault="008165D4" w:rsidP="009321C8">
      <w:pPr>
        <w:rPr>
          <w:b/>
          <w:sz w:val="24"/>
          <w:szCs w:val="24"/>
          <w:lang w:eastAsia="en-AU"/>
        </w:rPr>
      </w:pPr>
      <w:r w:rsidRPr="008165D4">
        <w:rPr>
          <w:b/>
          <w:sz w:val="24"/>
          <w:szCs w:val="24"/>
          <w:lang w:eastAsia="en-AU"/>
        </w:rPr>
        <w:t>Knowledge</w:t>
      </w:r>
    </w:p>
    <w:p w14:paraId="3054B7C6" w14:textId="77777777" w:rsidR="00E14276" w:rsidRDefault="007D184A" w:rsidP="00AF4818">
      <w:pPr>
        <w:pStyle w:val="ListParagraph"/>
        <w:numPr>
          <w:ilvl w:val="1"/>
          <w:numId w:val="49"/>
        </w:numPr>
        <w:rPr>
          <w:sz w:val="24"/>
          <w:szCs w:val="24"/>
          <w:lang w:eastAsia="en-AU"/>
        </w:rPr>
      </w:pPr>
      <w:r w:rsidRPr="00AF4818">
        <w:rPr>
          <w:sz w:val="24"/>
          <w:szCs w:val="24"/>
          <w:lang w:eastAsia="en-AU"/>
        </w:rPr>
        <w:t>K</w:t>
      </w:r>
      <w:r w:rsidR="008C7DF3">
        <w:rPr>
          <w:sz w:val="24"/>
          <w:szCs w:val="24"/>
          <w:lang w:eastAsia="en-AU"/>
        </w:rPr>
        <w:t>nowledge of</w:t>
      </w:r>
      <w:r w:rsidR="00E14276" w:rsidRPr="00AF4818">
        <w:rPr>
          <w:sz w:val="24"/>
          <w:szCs w:val="24"/>
          <w:lang w:eastAsia="en-AU"/>
        </w:rPr>
        <w:t xml:space="preserve"> p</w:t>
      </w:r>
      <w:r w:rsidR="0097168A" w:rsidRPr="00AF4818">
        <w:rPr>
          <w:sz w:val="24"/>
          <w:szCs w:val="24"/>
          <w:lang w:eastAsia="en-AU"/>
        </w:rPr>
        <w:t xml:space="preserve">rinciples of physical ergonomics for </w:t>
      </w:r>
      <w:r w:rsidR="008C718B" w:rsidRPr="00AF4818">
        <w:rPr>
          <w:sz w:val="24"/>
          <w:szCs w:val="24"/>
          <w:lang w:eastAsia="en-AU"/>
        </w:rPr>
        <w:t xml:space="preserve">injury </w:t>
      </w:r>
      <w:r w:rsidR="0097168A" w:rsidRPr="00AF4818">
        <w:rPr>
          <w:sz w:val="24"/>
          <w:szCs w:val="24"/>
          <w:lang w:eastAsia="en-AU"/>
        </w:rPr>
        <w:t xml:space="preserve">prevention and </w:t>
      </w:r>
      <w:r w:rsidR="008C718B" w:rsidRPr="00AF4818">
        <w:rPr>
          <w:sz w:val="24"/>
          <w:szCs w:val="24"/>
          <w:lang w:eastAsia="en-AU"/>
        </w:rPr>
        <w:t xml:space="preserve">improved task </w:t>
      </w:r>
      <w:r w:rsidR="0097168A" w:rsidRPr="00AF4818">
        <w:rPr>
          <w:sz w:val="24"/>
          <w:szCs w:val="24"/>
          <w:lang w:eastAsia="en-AU"/>
        </w:rPr>
        <w:t>efficienc</w:t>
      </w:r>
      <w:r w:rsidR="00C41050" w:rsidRPr="00AF4818">
        <w:rPr>
          <w:sz w:val="24"/>
          <w:szCs w:val="24"/>
          <w:lang w:eastAsia="en-AU"/>
        </w:rPr>
        <w:t>y with</w:t>
      </w:r>
      <w:r w:rsidRPr="00AF4818">
        <w:rPr>
          <w:sz w:val="24"/>
          <w:szCs w:val="24"/>
          <w:lang w:eastAsia="en-AU"/>
        </w:rPr>
        <w:t>in professional and/or industrial</w:t>
      </w:r>
      <w:r w:rsidR="0097168A" w:rsidRPr="00AF4818">
        <w:rPr>
          <w:sz w:val="24"/>
          <w:szCs w:val="24"/>
          <w:lang w:eastAsia="en-AU"/>
        </w:rPr>
        <w:t xml:space="preserve"> </w:t>
      </w:r>
      <w:r w:rsidR="00F230B5" w:rsidRPr="00AF4818">
        <w:rPr>
          <w:sz w:val="24"/>
          <w:szCs w:val="24"/>
          <w:lang w:eastAsia="en-AU"/>
        </w:rPr>
        <w:t>work environments</w:t>
      </w:r>
      <w:r w:rsidR="008C7DF3">
        <w:rPr>
          <w:sz w:val="24"/>
          <w:szCs w:val="24"/>
          <w:lang w:eastAsia="en-AU"/>
        </w:rPr>
        <w:t>.</w:t>
      </w:r>
    </w:p>
    <w:p w14:paraId="3D1AFED2" w14:textId="77777777" w:rsidR="00AF4818" w:rsidRDefault="00AF4818" w:rsidP="00AF4818">
      <w:pPr>
        <w:pStyle w:val="ListParagraph"/>
        <w:ind w:left="360"/>
        <w:rPr>
          <w:sz w:val="24"/>
          <w:szCs w:val="24"/>
          <w:lang w:eastAsia="en-AU"/>
        </w:rPr>
      </w:pPr>
    </w:p>
    <w:p w14:paraId="4FAE9A9A" w14:textId="77777777" w:rsidR="00AF4818" w:rsidRDefault="007D184A" w:rsidP="00AF4818">
      <w:pPr>
        <w:pStyle w:val="ListParagraph"/>
        <w:numPr>
          <w:ilvl w:val="1"/>
          <w:numId w:val="49"/>
        </w:numPr>
        <w:rPr>
          <w:sz w:val="24"/>
          <w:szCs w:val="24"/>
          <w:lang w:eastAsia="en-AU"/>
        </w:rPr>
      </w:pPr>
      <w:r w:rsidRPr="00AF4818">
        <w:rPr>
          <w:sz w:val="24"/>
          <w:szCs w:val="24"/>
          <w:lang w:eastAsia="en-AU"/>
        </w:rPr>
        <w:t>K</w:t>
      </w:r>
      <w:r w:rsidR="00E14276" w:rsidRPr="00AF4818">
        <w:rPr>
          <w:sz w:val="24"/>
          <w:szCs w:val="24"/>
          <w:lang w:eastAsia="en-AU"/>
        </w:rPr>
        <w:t>nowledge of occupational risk indicators in professional</w:t>
      </w:r>
      <w:r w:rsidR="00AF4818" w:rsidRPr="00AF4818">
        <w:rPr>
          <w:sz w:val="24"/>
          <w:szCs w:val="24"/>
          <w:lang w:eastAsia="en-AU"/>
        </w:rPr>
        <w:t xml:space="preserve"> </w:t>
      </w:r>
      <w:r w:rsidR="00B52BC9">
        <w:rPr>
          <w:sz w:val="24"/>
          <w:szCs w:val="24"/>
          <w:lang w:eastAsia="en-AU"/>
        </w:rPr>
        <w:t xml:space="preserve">work </w:t>
      </w:r>
      <w:r w:rsidR="00E14276" w:rsidRPr="00AF4818">
        <w:rPr>
          <w:sz w:val="24"/>
          <w:szCs w:val="24"/>
          <w:lang w:eastAsia="en-AU"/>
        </w:rPr>
        <w:t>environments and their relationship to broader health, safety, wellbeing, worker functionality and task efficiency.</w:t>
      </w:r>
      <w:r w:rsidRPr="00AF4818">
        <w:rPr>
          <w:sz w:val="24"/>
          <w:szCs w:val="24"/>
          <w:lang w:eastAsia="en-AU"/>
        </w:rPr>
        <w:t xml:space="preserve"> </w:t>
      </w:r>
    </w:p>
    <w:p w14:paraId="786DD764" w14:textId="77777777" w:rsidR="00AF4818" w:rsidRPr="00AF4818" w:rsidRDefault="00AF4818" w:rsidP="00AF4818">
      <w:pPr>
        <w:pStyle w:val="ListParagraph"/>
        <w:rPr>
          <w:sz w:val="24"/>
          <w:szCs w:val="24"/>
          <w:lang w:eastAsia="en-AU"/>
        </w:rPr>
      </w:pPr>
    </w:p>
    <w:p w14:paraId="28ED022D" w14:textId="77777777" w:rsidR="00B31143" w:rsidRDefault="00AF4818" w:rsidP="00AF4818">
      <w:pPr>
        <w:pStyle w:val="ListParagraph"/>
        <w:numPr>
          <w:ilvl w:val="1"/>
          <w:numId w:val="49"/>
        </w:numPr>
        <w:rPr>
          <w:sz w:val="24"/>
          <w:szCs w:val="24"/>
          <w:lang w:eastAsia="en-AU"/>
        </w:rPr>
      </w:pPr>
      <w:r w:rsidRPr="00AF4818">
        <w:rPr>
          <w:sz w:val="24"/>
          <w:szCs w:val="24"/>
          <w:lang w:eastAsia="en-AU"/>
        </w:rPr>
        <w:t>K</w:t>
      </w:r>
      <w:r w:rsidR="00E14276" w:rsidRPr="00AF4818">
        <w:rPr>
          <w:sz w:val="24"/>
          <w:szCs w:val="24"/>
          <w:lang w:eastAsia="en-AU"/>
        </w:rPr>
        <w:t>nowledge of m</w:t>
      </w:r>
      <w:r w:rsidR="00B52BC9">
        <w:rPr>
          <w:sz w:val="24"/>
          <w:szCs w:val="24"/>
          <w:lang w:eastAsia="en-AU"/>
        </w:rPr>
        <w:t>anual task safety and efficiency</w:t>
      </w:r>
      <w:r w:rsidR="00F230B5" w:rsidRPr="00AF4818">
        <w:rPr>
          <w:sz w:val="24"/>
          <w:szCs w:val="24"/>
          <w:lang w:eastAsia="en-AU"/>
        </w:rPr>
        <w:t xml:space="preserve"> principles, with a focus on hazard i</w:t>
      </w:r>
      <w:r w:rsidR="00963EA6" w:rsidRPr="00AF4818">
        <w:rPr>
          <w:sz w:val="24"/>
          <w:szCs w:val="24"/>
          <w:lang w:eastAsia="en-AU"/>
        </w:rPr>
        <w:t>dentification, risk assessment,</w:t>
      </w:r>
      <w:r w:rsidR="00F230B5" w:rsidRPr="00AF4818">
        <w:rPr>
          <w:sz w:val="24"/>
          <w:szCs w:val="24"/>
          <w:lang w:eastAsia="en-AU"/>
        </w:rPr>
        <w:t xml:space="preserve"> implementation and review</w:t>
      </w:r>
      <w:r w:rsidR="00C41050" w:rsidRPr="00AF4818">
        <w:rPr>
          <w:sz w:val="24"/>
          <w:szCs w:val="24"/>
          <w:lang w:eastAsia="en-AU"/>
        </w:rPr>
        <w:t xml:space="preserve"> of control strategies (encompassing</w:t>
      </w:r>
      <w:r w:rsidR="00F230B5" w:rsidRPr="00AF4818">
        <w:rPr>
          <w:sz w:val="24"/>
          <w:szCs w:val="24"/>
          <w:lang w:eastAsia="en-AU"/>
        </w:rPr>
        <w:t xml:space="preserve"> cogni</w:t>
      </w:r>
      <w:r w:rsidR="0097168A" w:rsidRPr="00AF4818">
        <w:rPr>
          <w:sz w:val="24"/>
          <w:szCs w:val="24"/>
          <w:lang w:eastAsia="en-AU"/>
        </w:rPr>
        <w:t>tive, equipment, organisational and physical</w:t>
      </w:r>
      <w:r w:rsidR="00F230B5" w:rsidRPr="00AF4818">
        <w:rPr>
          <w:sz w:val="24"/>
          <w:szCs w:val="24"/>
          <w:lang w:eastAsia="en-AU"/>
        </w:rPr>
        <w:t xml:space="preserve"> dimensions</w:t>
      </w:r>
      <w:r w:rsidR="00C41050" w:rsidRPr="00AF4818">
        <w:rPr>
          <w:sz w:val="24"/>
          <w:szCs w:val="24"/>
          <w:lang w:eastAsia="en-AU"/>
        </w:rPr>
        <w:t xml:space="preserve"> of a task</w:t>
      </w:r>
      <w:r w:rsidR="00F230B5" w:rsidRPr="00AF4818">
        <w:rPr>
          <w:sz w:val="24"/>
          <w:szCs w:val="24"/>
          <w:lang w:eastAsia="en-AU"/>
        </w:rPr>
        <w:t>)</w:t>
      </w:r>
      <w:r w:rsidRPr="00AF4818">
        <w:rPr>
          <w:sz w:val="24"/>
          <w:szCs w:val="24"/>
          <w:lang w:eastAsia="en-AU"/>
        </w:rPr>
        <w:t xml:space="preserve">. </w:t>
      </w:r>
    </w:p>
    <w:p w14:paraId="27795316" w14:textId="77777777" w:rsidR="00A362A4" w:rsidRPr="00A362A4" w:rsidRDefault="00A362A4" w:rsidP="00A362A4">
      <w:pPr>
        <w:pStyle w:val="ListParagraph"/>
        <w:rPr>
          <w:sz w:val="24"/>
          <w:szCs w:val="24"/>
          <w:lang w:eastAsia="en-AU"/>
        </w:rPr>
      </w:pPr>
    </w:p>
    <w:p w14:paraId="74754B8E" w14:textId="77777777" w:rsidR="00B52BC9" w:rsidRPr="00A362A4" w:rsidRDefault="00A362A4" w:rsidP="00A362A4">
      <w:pPr>
        <w:pStyle w:val="ListParagraph"/>
        <w:numPr>
          <w:ilvl w:val="1"/>
          <w:numId w:val="49"/>
        </w:numPr>
        <w:rPr>
          <w:sz w:val="24"/>
          <w:szCs w:val="24"/>
          <w:lang w:eastAsia="en-AU"/>
        </w:rPr>
      </w:pPr>
      <w:r>
        <w:rPr>
          <w:sz w:val="24"/>
          <w:szCs w:val="24"/>
        </w:rPr>
        <w:t>Knowledge of principles in the development of injury prevention and task efficiency recommendation reports.</w:t>
      </w:r>
    </w:p>
    <w:p w14:paraId="52E07B40" w14:textId="77777777" w:rsidR="00B52BC9" w:rsidRPr="00B52BC9" w:rsidRDefault="00B52BC9" w:rsidP="00B52BC9">
      <w:pPr>
        <w:pStyle w:val="ListParagraph"/>
        <w:rPr>
          <w:sz w:val="24"/>
          <w:szCs w:val="24"/>
          <w:lang w:eastAsia="en-AU"/>
        </w:rPr>
      </w:pPr>
    </w:p>
    <w:p w14:paraId="08E5190D" w14:textId="77777777" w:rsidR="00B52BC9" w:rsidRPr="00A362A4" w:rsidRDefault="00A362A4" w:rsidP="00A362A4">
      <w:pPr>
        <w:pStyle w:val="ListParagraph"/>
        <w:numPr>
          <w:ilvl w:val="1"/>
          <w:numId w:val="49"/>
        </w:numPr>
        <w:rPr>
          <w:sz w:val="24"/>
          <w:szCs w:val="24"/>
          <w:lang w:eastAsia="en-AU"/>
        </w:rPr>
      </w:pPr>
      <w:r>
        <w:rPr>
          <w:sz w:val="24"/>
          <w:szCs w:val="24"/>
          <w:lang w:eastAsia="en-AU"/>
        </w:rPr>
        <w:t>Knowledge of principles in</w:t>
      </w:r>
      <w:r w:rsidR="00B52BC9" w:rsidRPr="00B52BC9">
        <w:rPr>
          <w:sz w:val="24"/>
          <w:szCs w:val="24"/>
          <w:lang w:eastAsia="en-AU"/>
        </w:rPr>
        <w:t xml:space="preserve"> workplace stakeholder engagement and</w:t>
      </w:r>
      <w:r>
        <w:rPr>
          <w:sz w:val="24"/>
          <w:szCs w:val="24"/>
          <w:lang w:eastAsia="en-AU"/>
        </w:rPr>
        <w:t xml:space="preserve"> education for</w:t>
      </w:r>
      <w:r w:rsidRPr="00A362A4">
        <w:rPr>
          <w:sz w:val="24"/>
          <w:szCs w:val="24"/>
          <w:lang w:eastAsia="en-AU"/>
        </w:rPr>
        <w:t xml:space="preserve"> injury prevention and</w:t>
      </w:r>
      <w:r w:rsidR="00CC455A" w:rsidRPr="00A362A4">
        <w:rPr>
          <w:sz w:val="24"/>
          <w:szCs w:val="24"/>
          <w:lang w:eastAsia="en-AU"/>
        </w:rPr>
        <w:t xml:space="preserve"> operational efficiency.</w:t>
      </w:r>
    </w:p>
    <w:p w14:paraId="57FEB02F" w14:textId="77777777" w:rsidR="00516C02" w:rsidRDefault="00516C02" w:rsidP="00124D1E">
      <w:pPr>
        <w:pStyle w:val="Heading1"/>
      </w:pPr>
    </w:p>
    <w:p w14:paraId="60B9D835" w14:textId="77777777" w:rsidR="001E3EB5" w:rsidRDefault="00273B7A" w:rsidP="00273B7A">
      <w:pPr>
        <w:pStyle w:val="Heading2"/>
      </w:pPr>
      <w:r>
        <w:t>Consultancy reasoning</w:t>
      </w:r>
      <w:r w:rsidR="000376E5">
        <w:t xml:space="preserve"> for prevention and efficiency</w:t>
      </w:r>
      <w:r>
        <w:t xml:space="preserve"> in practice</w:t>
      </w:r>
    </w:p>
    <w:p w14:paraId="54A860FD" w14:textId="77777777" w:rsidR="00273B7A" w:rsidRDefault="00273B7A" w:rsidP="001E3EB5"/>
    <w:p w14:paraId="5A9DADCA" w14:textId="77777777" w:rsidR="00E11AD2" w:rsidRDefault="000376E5" w:rsidP="00516C02">
      <w:pPr>
        <w:rPr>
          <w:sz w:val="24"/>
        </w:rPr>
      </w:pPr>
      <w:r w:rsidRPr="000376E5">
        <w:rPr>
          <w:sz w:val="24"/>
        </w:rPr>
        <w:t xml:space="preserve">Advanced (titled) members </w:t>
      </w:r>
      <w:r w:rsidR="00113CBD">
        <w:rPr>
          <w:sz w:val="24"/>
        </w:rPr>
        <w:t>in</w:t>
      </w:r>
      <w:r w:rsidR="00C400FE">
        <w:rPr>
          <w:sz w:val="24"/>
        </w:rPr>
        <w:t xml:space="preserve"> the Occupational Health CPG</w:t>
      </w:r>
      <w:r w:rsidR="00113CBD">
        <w:rPr>
          <w:sz w:val="24"/>
        </w:rPr>
        <w:t xml:space="preserve"> for injury prevention and </w:t>
      </w:r>
      <w:r w:rsidR="00E11AD2">
        <w:rPr>
          <w:sz w:val="24"/>
        </w:rPr>
        <w:t>business</w:t>
      </w:r>
      <w:r w:rsidR="00113CBD">
        <w:rPr>
          <w:sz w:val="24"/>
        </w:rPr>
        <w:t xml:space="preserve"> efficiency </w:t>
      </w:r>
      <w:r w:rsidR="00C400FE">
        <w:rPr>
          <w:sz w:val="24"/>
        </w:rPr>
        <w:t xml:space="preserve">consultancy </w:t>
      </w:r>
      <w:r w:rsidR="00113CBD">
        <w:rPr>
          <w:sz w:val="24"/>
        </w:rPr>
        <w:t>exemplify</w:t>
      </w:r>
      <w:r w:rsidR="00C400FE">
        <w:rPr>
          <w:sz w:val="24"/>
        </w:rPr>
        <w:t xml:space="preserve"> the</w:t>
      </w:r>
      <w:r w:rsidR="00113CBD">
        <w:rPr>
          <w:sz w:val="24"/>
        </w:rPr>
        <w:t xml:space="preserve"> capacity to produce risk analyses for occupational environments</w:t>
      </w:r>
      <w:r w:rsidR="00C400FE">
        <w:rPr>
          <w:sz w:val="24"/>
        </w:rPr>
        <w:t>, either in relation to injury prevention and/or business output. They demonstrate ability to perform quality reviews for business</w:t>
      </w:r>
      <w:r w:rsidR="00E11AD2">
        <w:rPr>
          <w:sz w:val="24"/>
        </w:rPr>
        <w:t xml:space="preserve"> and</w:t>
      </w:r>
      <w:r w:rsidR="00C400FE">
        <w:rPr>
          <w:sz w:val="24"/>
        </w:rPr>
        <w:t xml:space="preserve"> produce reports and plans for configuration of </w:t>
      </w:r>
      <w:r w:rsidR="00E11AD2">
        <w:rPr>
          <w:sz w:val="24"/>
        </w:rPr>
        <w:t xml:space="preserve">identified issues in </w:t>
      </w:r>
      <w:r w:rsidR="00C400FE">
        <w:rPr>
          <w:sz w:val="24"/>
        </w:rPr>
        <w:t xml:space="preserve">the work environment. Their reports </w:t>
      </w:r>
      <w:r w:rsidR="00C400FE">
        <w:rPr>
          <w:sz w:val="24"/>
        </w:rPr>
        <w:lastRenderedPageBreak/>
        <w:t xml:space="preserve">demonstrate </w:t>
      </w:r>
      <w:r w:rsidR="00E11AD2">
        <w:rPr>
          <w:sz w:val="24"/>
        </w:rPr>
        <w:t>a focus on key indicators for injury prevention and work performance, including in</w:t>
      </w:r>
      <w:r w:rsidR="00C400FE">
        <w:rPr>
          <w:sz w:val="24"/>
        </w:rPr>
        <w:t xml:space="preserve"> tasks involved, space use</w:t>
      </w:r>
      <w:r w:rsidR="00E11AD2">
        <w:rPr>
          <w:sz w:val="24"/>
        </w:rPr>
        <w:t xml:space="preserve"> and</w:t>
      </w:r>
      <w:r w:rsidR="00C400FE">
        <w:rPr>
          <w:sz w:val="24"/>
        </w:rPr>
        <w:t xml:space="preserve"> movement styles used</w:t>
      </w:r>
      <w:r w:rsidR="00E11AD2">
        <w:rPr>
          <w:sz w:val="24"/>
        </w:rPr>
        <w:t>. The outcomes they work toward include improving worker</w:t>
      </w:r>
      <w:r w:rsidR="00C400FE">
        <w:rPr>
          <w:sz w:val="24"/>
        </w:rPr>
        <w:t xml:space="preserve"> biomechanical function</w:t>
      </w:r>
      <w:r w:rsidR="00E11AD2">
        <w:rPr>
          <w:sz w:val="24"/>
        </w:rPr>
        <w:t>, minimising risk in this function as well as</w:t>
      </w:r>
      <w:r w:rsidR="00C400FE">
        <w:rPr>
          <w:sz w:val="24"/>
        </w:rPr>
        <w:t xml:space="preserve"> time</w:t>
      </w:r>
      <w:r w:rsidR="00E11AD2">
        <w:rPr>
          <w:sz w:val="24"/>
        </w:rPr>
        <w:t xml:space="preserve"> and cost</w:t>
      </w:r>
      <w:r w:rsidR="00C400FE">
        <w:rPr>
          <w:sz w:val="24"/>
        </w:rPr>
        <w:t xml:space="preserve"> savings </w:t>
      </w:r>
      <w:r w:rsidR="00E11AD2">
        <w:rPr>
          <w:sz w:val="24"/>
        </w:rPr>
        <w:t xml:space="preserve">in business processes. </w:t>
      </w:r>
    </w:p>
    <w:p w14:paraId="6E20FD17" w14:textId="77777777" w:rsidR="00E11AD2" w:rsidRPr="00E11AD2" w:rsidRDefault="00E11AD2" w:rsidP="00516C02">
      <w:pPr>
        <w:rPr>
          <w:sz w:val="24"/>
        </w:rPr>
      </w:pPr>
    </w:p>
    <w:p w14:paraId="029A4BFA" w14:textId="77777777" w:rsidR="00124D1E" w:rsidRDefault="00124D1E" w:rsidP="00124D1E">
      <w:pPr>
        <w:pStyle w:val="Heading1"/>
      </w:pPr>
      <w:r>
        <w:t>Fellows</w:t>
      </w:r>
    </w:p>
    <w:p w14:paraId="74616998" w14:textId="77777777" w:rsidR="00124D1E" w:rsidRDefault="00124D1E" w:rsidP="00124D1E">
      <w:pPr>
        <w:rPr>
          <w:b/>
        </w:rPr>
      </w:pPr>
    </w:p>
    <w:p w14:paraId="581CD9C4" w14:textId="77777777" w:rsidR="00124D1E" w:rsidRDefault="006E04EC" w:rsidP="00124D1E">
      <w:pPr>
        <w:rPr>
          <w:sz w:val="24"/>
          <w:szCs w:val="24"/>
        </w:rPr>
      </w:pPr>
      <w:r>
        <w:rPr>
          <w:sz w:val="24"/>
          <w:szCs w:val="24"/>
        </w:rPr>
        <w:t>Fellows</w:t>
      </w:r>
      <w:r w:rsidR="00124D1E" w:rsidRPr="00C60657">
        <w:rPr>
          <w:sz w:val="24"/>
          <w:szCs w:val="24"/>
        </w:rPr>
        <w:t xml:space="preserve"> demonstrate substantial experience in and contribution to knowledge creation </w:t>
      </w:r>
      <w:r w:rsidR="00124D1E">
        <w:rPr>
          <w:sz w:val="24"/>
          <w:szCs w:val="24"/>
        </w:rPr>
        <w:t xml:space="preserve">in occupational health through high quality academic research, clinical publications and development of evidence-informed practice. </w:t>
      </w:r>
    </w:p>
    <w:p w14:paraId="65DB142F" w14:textId="77777777" w:rsidR="004B6D27" w:rsidRPr="003C44CD" w:rsidRDefault="00A954F0" w:rsidP="00A954F0">
      <w:pPr>
        <w:pStyle w:val="Heading1"/>
      </w:pPr>
      <w:r>
        <w:t>End notes</w:t>
      </w:r>
    </w:p>
    <w:sectPr w:rsidR="004B6D27" w:rsidRPr="003C44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5970" w14:textId="77777777" w:rsidR="00247495" w:rsidRDefault="00247495" w:rsidP="007E7953">
      <w:pPr>
        <w:spacing w:after="0" w:line="240" w:lineRule="auto"/>
      </w:pPr>
      <w:r>
        <w:separator/>
      </w:r>
    </w:p>
  </w:endnote>
  <w:endnote w:type="continuationSeparator" w:id="0">
    <w:p w14:paraId="5DD99C26" w14:textId="77777777" w:rsidR="00247495" w:rsidRDefault="00247495" w:rsidP="007E7953">
      <w:pPr>
        <w:spacing w:after="0" w:line="240" w:lineRule="auto"/>
      </w:pPr>
      <w:r>
        <w:continuationSeparator/>
      </w:r>
    </w:p>
  </w:endnote>
  <w:endnote w:id="1">
    <w:p w14:paraId="7AD6F5CE" w14:textId="77777777" w:rsidR="0093396F" w:rsidRPr="00AC2A13" w:rsidRDefault="0093396F" w:rsidP="00A954F0">
      <w:pPr>
        <w:pStyle w:val="EndnoteText"/>
        <w:rPr>
          <w:sz w:val="24"/>
          <w:szCs w:val="24"/>
        </w:rPr>
      </w:pPr>
      <w:r w:rsidRPr="00AC2A13">
        <w:rPr>
          <w:rStyle w:val="EndnoteReference"/>
          <w:sz w:val="24"/>
          <w:szCs w:val="24"/>
        </w:rPr>
        <w:endnoteRef/>
      </w:r>
      <w:r w:rsidRPr="00AC2A13">
        <w:rPr>
          <w:sz w:val="24"/>
          <w:szCs w:val="24"/>
        </w:rPr>
        <w:t xml:space="preserve"> </w:t>
      </w:r>
      <w:r>
        <w:rPr>
          <w:b/>
          <w:sz w:val="24"/>
          <w:szCs w:val="24"/>
        </w:rPr>
        <w:t>Extended</w:t>
      </w:r>
      <w:r w:rsidRPr="00480239">
        <w:rPr>
          <w:b/>
          <w:sz w:val="24"/>
          <w:szCs w:val="24"/>
        </w:rPr>
        <w:t xml:space="preserve"> </w:t>
      </w:r>
      <w:r>
        <w:rPr>
          <w:b/>
          <w:sz w:val="24"/>
          <w:szCs w:val="24"/>
        </w:rPr>
        <w:t>p</w:t>
      </w:r>
      <w:r w:rsidRPr="00480239">
        <w:rPr>
          <w:b/>
          <w:sz w:val="24"/>
          <w:szCs w:val="24"/>
        </w:rPr>
        <w:t>ractice</w:t>
      </w:r>
      <w:r w:rsidRPr="00AC2A13">
        <w:rPr>
          <w:sz w:val="24"/>
          <w:szCs w:val="24"/>
        </w:rPr>
        <w:t xml:space="preserve"> – refers to clinical knowledge sets and applied practice beyond the typical skill levels of graduates and osteopaths initially entering a new area of practice. </w:t>
      </w:r>
    </w:p>
    <w:p w14:paraId="23A0D939" w14:textId="77777777" w:rsidR="0093396F" w:rsidRPr="00AC2A13" w:rsidRDefault="0093396F" w:rsidP="00A954F0">
      <w:pPr>
        <w:pStyle w:val="EndnoteText"/>
        <w:rPr>
          <w:sz w:val="24"/>
          <w:szCs w:val="24"/>
        </w:rPr>
      </w:pPr>
      <w:r w:rsidRPr="00AC2A13">
        <w:rPr>
          <w:sz w:val="24"/>
          <w:szCs w:val="24"/>
        </w:rPr>
        <w:t xml:space="preserve"> </w:t>
      </w:r>
    </w:p>
  </w:endnote>
  <w:endnote w:id="2">
    <w:p w14:paraId="6CBA1D12" w14:textId="77777777" w:rsidR="0093396F" w:rsidRDefault="0093396F" w:rsidP="00A954F0">
      <w:pPr>
        <w:pStyle w:val="EndnoteText"/>
        <w:rPr>
          <w:sz w:val="24"/>
          <w:szCs w:val="24"/>
        </w:rPr>
      </w:pPr>
      <w:r w:rsidRPr="00AC2A13">
        <w:rPr>
          <w:rStyle w:val="EndnoteReference"/>
          <w:sz w:val="24"/>
          <w:szCs w:val="24"/>
        </w:rPr>
        <w:endnoteRef/>
      </w:r>
      <w:r w:rsidRPr="00AC2A13">
        <w:rPr>
          <w:sz w:val="24"/>
          <w:szCs w:val="24"/>
        </w:rPr>
        <w:t xml:space="preserve"> </w:t>
      </w:r>
      <w:r>
        <w:rPr>
          <w:b/>
          <w:sz w:val="24"/>
          <w:szCs w:val="24"/>
        </w:rPr>
        <w:t>Advanced</w:t>
      </w:r>
      <w:r w:rsidRPr="00480239">
        <w:rPr>
          <w:b/>
          <w:sz w:val="24"/>
          <w:szCs w:val="24"/>
        </w:rPr>
        <w:t xml:space="preserve"> </w:t>
      </w:r>
      <w:r>
        <w:rPr>
          <w:b/>
          <w:sz w:val="24"/>
          <w:szCs w:val="24"/>
        </w:rPr>
        <w:t>p</w:t>
      </w:r>
      <w:r w:rsidRPr="00480239">
        <w:rPr>
          <w:b/>
          <w:sz w:val="24"/>
          <w:szCs w:val="24"/>
        </w:rPr>
        <w:t>ractice</w:t>
      </w:r>
      <w:r w:rsidRPr="00AC2A13">
        <w:rPr>
          <w:sz w:val="24"/>
          <w:szCs w:val="24"/>
        </w:rPr>
        <w:t xml:space="preserve"> – refers to </w:t>
      </w:r>
      <w:r>
        <w:rPr>
          <w:sz w:val="24"/>
          <w:szCs w:val="24"/>
        </w:rPr>
        <w:t>clinical knowledge sets and applied practice</w:t>
      </w:r>
      <w:r w:rsidRPr="00AC2A13">
        <w:rPr>
          <w:sz w:val="24"/>
          <w:szCs w:val="24"/>
        </w:rPr>
        <w:t xml:space="preserve"> beyond the osteopathic scope of practice and</w:t>
      </w:r>
      <w:r>
        <w:rPr>
          <w:sz w:val="24"/>
          <w:szCs w:val="24"/>
        </w:rPr>
        <w:t xml:space="preserve"> extended practice, requiring additional knowledge, skills and training more aligned with other health professionals who have depth of focus in the field of occupational health. </w:t>
      </w:r>
    </w:p>
    <w:p w14:paraId="3AFA32AD" w14:textId="77777777" w:rsidR="0093396F" w:rsidRPr="00AC2A13" w:rsidRDefault="0093396F" w:rsidP="00A954F0">
      <w:pPr>
        <w:pStyle w:val="EndnoteText"/>
        <w:rPr>
          <w:sz w:val="24"/>
          <w:szCs w:val="24"/>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1F66" w14:textId="77777777" w:rsidR="0093396F" w:rsidRDefault="0093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271978"/>
      <w:docPartObj>
        <w:docPartGallery w:val="Page Numbers (Bottom of Page)"/>
        <w:docPartUnique/>
      </w:docPartObj>
    </w:sdtPr>
    <w:sdtEndPr>
      <w:rPr>
        <w:noProof/>
      </w:rPr>
    </w:sdtEndPr>
    <w:sdtContent>
      <w:p w14:paraId="0DDDD4E7" w14:textId="77777777" w:rsidR="0093396F" w:rsidRDefault="0093396F">
        <w:pPr>
          <w:pStyle w:val="Footer"/>
          <w:jc w:val="right"/>
        </w:pPr>
        <w:r>
          <w:fldChar w:fldCharType="begin"/>
        </w:r>
        <w:r>
          <w:instrText xml:space="preserve"> PAGE   \* MERGEFORMAT </w:instrText>
        </w:r>
        <w:r>
          <w:fldChar w:fldCharType="separate"/>
        </w:r>
        <w:r w:rsidR="00C2610C">
          <w:rPr>
            <w:noProof/>
          </w:rPr>
          <w:t>1</w:t>
        </w:r>
        <w:r>
          <w:rPr>
            <w:noProof/>
          </w:rPr>
          <w:fldChar w:fldCharType="end"/>
        </w:r>
      </w:p>
    </w:sdtContent>
  </w:sdt>
  <w:p w14:paraId="123D4F8D" w14:textId="77777777" w:rsidR="0093396F" w:rsidRDefault="00933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0A61" w14:textId="77777777" w:rsidR="0093396F" w:rsidRDefault="0093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C87F5" w14:textId="77777777" w:rsidR="00247495" w:rsidRDefault="00247495" w:rsidP="007E7953">
      <w:pPr>
        <w:spacing w:after="0" w:line="240" w:lineRule="auto"/>
      </w:pPr>
      <w:r>
        <w:separator/>
      </w:r>
    </w:p>
  </w:footnote>
  <w:footnote w:type="continuationSeparator" w:id="0">
    <w:p w14:paraId="3E31C7AD" w14:textId="77777777" w:rsidR="00247495" w:rsidRDefault="00247495" w:rsidP="007E7953">
      <w:pPr>
        <w:spacing w:after="0" w:line="240" w:lineRule="auto"/>
      </w:pPr>
      <w:r>
        <w:continuationSeparator/>
      </w:r>
    </w:p>
  </w:footnote>
  <w:footnote w:id="1">
    <w:p w14:paraId="257C8C96" w14:textId="77777777" w:rsidR="0093396F" w:rsidRDefault="0093396F">
      <w:pPr>
        <w:pStyle w:val="FootnoteText"/>
      </w:pPr>
      <w:r>
        <w:rPr>
          <w:rStyle w:val="FootnoteReference"/>
        </w:rPr>
        <w:footnoteRef/>
      </w:r>
      <w:r>
        <w:t xml:space="preserve"> Work Safe Australia, ‘Statistics on Workers in Australia’ [online]; </w:t>
      </w:r>
      <w:hyperlink r:id="rId1" w:history="1">
        <w:r w:rsidRPr="00DC7D4D">
          <w:rPr>
            <w:rStyle w:val="Hyperlink"/>
          </w:rPr>
          <w:t>http://www.safeworkaustralia.gov.au/sites/SWA/Statistics/Documents/Table-2-1-number-frequency-rate-and-incidence-rate-of-serious-claims-by-industry-2009-10-2013-14.pdf</w:t>
        </w:r>
      </w:hyperlink>
      <w:r>
        <w:t xml:space="preserve"> </w:t>
      </w:r>
    </w:p>
  </w:footnote>
  <w:footnote w:id="2">
    <w:p w14:paraId="362A1BCD" w14:textId="77777777" w:rsidR="0093396F" w:rsidRDefault="0093396F">
      <w:pPr>
        <w:pStyle w:val="FootnoteText"/>
      </w:pPr>
      <w:r>
        <w:rPr>
          <w:rStyle w:val="FootnoteReference"/>
        </w:rPr>
        <w:footnoteRef/>
      </w:r>
      <w:r>
        <w:t xml:space="preserve"> Work Safe Australia, ‘The cost of work-related injury and illness for Australian employers, workers and the community: 2012-2013’ [online];  </w:t>
      </w:r>
      <w:hyperlink r:id="rId2" w:history="1">
        <w:r w:rsidRPr="00DC7D4D">
          <w:rPr>
            <w:rStyle w:val="Hyperlink"/>
          </w:rPr>
          <w:t>http://www.safeworkaustralia.gov.au/sites/SWA/about/Publications/Documents/940/cost-of-work-related-injury-and-disease-2012-13.docx.pdf</w:t>
        </w:r>
      </w:hyperlink>
      <w:r>
        <w:t xml:space="preserve"> </w:t>
      </w:r>
    </w:p>
  </w:footnote>
  <w:footnote w:id="3">
    <w:p w14:paraId="087961FD" w14:textId="77777777" w:rsidR="0093396F" w:rsidRDefault="0093396F">
      <w:pPr>
        <w:pStyle w:val="FootnoteText"/>
      </w:pPr>
      <w:r>
        <w:rPr>
          <w:rStyle w:val="FootnoteReference"/>
        </w:rPr>
        <w:footnoteRef/>
      </w:r>
      <w:r>
        <w:t xml:space="preserve"> Royal Australian College of Physicians (RAPC), ‘Position Statement: Realising the Health Benefits of Work’ [online]; </w:t>
      </w:r>
      <w:hyperlink r:id="rId3" w:history="1">
        <w:r w:rsidRPr="00F77C33">
          <w:rPr>
            <w:rStyle w:val="Hyperlink"/>
          </w:rPr>
          <w:t>https://www.racp.edu.au/docs/default-source/advocacy-library/realising-the-health-benefits-of-work.pdf</w:t>
        </w:r>
      </w:hyperlink>
      <w:r>
        <w:t xml:space="preserve"> </w:t>
      </w:r>
    </w:p>
  </w:footnote>
  <w:footnote w:id="4">
    <w:p w14:paraId="33B0EA92" w14:textId="77777777" w:rsidR="0093396F" w:rsidRDefault="0093396F" w:rsidP="007E7953">
      <w:pPr>
        <w:pStyle w:val="FootnoteText"/>
      </w:pPr>
      <w:r>
        <w:rPr>
          <w:rStyle w:val="FootnoteReference"/>
        </w:rPr>
        <w:footnoteRef/>
      </w:r>
      <w:r>
        <w:t xml:space="preserve"> Osteopathy Australia, ‘Statement of Scope of Practice in Osteopathy’ [online]; </w:t>
      </w:r>
      <w:hyperlink r:id="rId4" w:history="1">
        <w:r w:rsidRPr="009F12F5">
          <w:rPr>
            <w:rStyle w:val="Hyperlink"/>
          </w:rPr>
          <w:t>http://www.osteopathy.org.au/pages/policy-statemen-scope-of-practice-243.html</w:t>
        </w:r>
      </w:hyperlink>
      <w:r>
        <w:t xml:space="preserve"> </w:t>
      </w:r>
    </w:p>
  </w:footnote>
  <w:footnote w:id="5">
    <w:p w14:paraId="2523BDB4" w14:textId="77777777" w:rsidR="0093396F" w:rsidRPr="00394F21" w:rsidRDefault="0093396F">
      <w:pPr>
        <w:pStyle w:val="FootnoteText"/>
        <w:rPr>
          <w:i/>
        </w:rPr>
      </w:pPr>
      <w:r>
        <w:rPr>
          <w:rStyle w:val="FootnoteReference"/>
        </w:rPr>
        <w:footnoteRef/>
      </w:r>
      <w:r>
        <w:t xml:space="preserve"> Work Safe Victoria, ‘Clinical Framework for the Delivery of Health Services’- a framework endorsed as evidence based practice across states and territories [online]; </w:t>
      </w:r>
      <w:hyperlink r:id="rId5" w:history="1">
        <w:r w:rsidRPr="00DC7D4D">
          <w:rPr>
            <w:rStyle w:val="Hyperlink"/>
          </w:rPr>
          <w:t>http://www.tac.vic.gov.au/__data/assets/pdf_file/0010/27595/clinical-framework-single.pdf</w:t>
        </w:r>
      </w:hyperlink>
      <w:r>
        <w:t xml:space="preserve"> </w:t>
      </w:r>
    </w:p>
  </w:footnote>
  <w:footnote w:id="6">
    <w:p w14:paraId="673173FC" w14:textId="77777777" w:rsidR="0093396F" w:rsidRDefault="0093396F">
      <w:pPr>
        <w:pStyle w:val="FootnoteText"/>
      </w:pPr>
      <w:r>
        <w:rPr>
          <w:rStyle w:val="FootnoteReference"/>
        </w:rPr>
        <w:footnoteRef/>
      </w:r>
      <w:r>
        <w:t xml:space="preserve"> Human Factors and Ergonomics Society of Australia, ‘Definitions’ [online]; </w:t>
      </w:r>
      <w:hyperlink r:id="rId6" w:history="1">
        <w:r w:rsidRPr="00DC7D4D">
          <w:rPr>
            <w:rStyle w:val="Hyperlink"/>
          </w:rPr>
          <w:t>http://www.ergonomics.org.au/resource_library/definitions</w:t>
        </w:r>
      </w:hyperlink>
      <w:r>
        <w:t>. Physical ergonomics incorporates</w:t>
      </w:r>
      <w:r w:rsidRPr="008B26BD">
        <w:t xml:space="preserve"> human anatomical, anthropometric, physiological and biomechanical characteristics as they relate to physical activity. The relevant topics include working postures, materials handling, repetitive movements, work-related musculoskeletal disorders, workplace layout, safety and health.</w:t>
      </w:r>
    </w:p>
  </w:footnote>
  <w:footnote w:id="7">
    <w:p w14:paraId="6F3B8354" w14:textId="77777777" w:rsidR="0093396F" w:rsidRDefault="0093396F">
      <w:pPr>
        <w:pStyle w:val="FootnoteText"/>
      </w:pPr>
      <w:r>
        <w:rPr>
          <w:rStyle w:val="FootnoteReference"/>
        </w:rPr>
        <w:footnoteRef/>
      </w:r>
      <w:r>
        <w:t xml:space="preserve"> Queensland WorkCover, ‘Job task analysis’ [online]; </w:t>
      </w:r>
      <w:hyperlink r:id="rId7" w:history="1">
        <w:r w:rsidRPr="00DC7D4D">
          <w:rPr>
            <w:rStyle w:val="Hyperlink"/>
          </w:rPr>
          <w:t>https://www.worksafe.qld.gov.au/construction/resources/job-task-analysis</w:t>
        </w:r>
      </w:hyperlink>
      <w:r>
        <w:t>. Task breaks down job sequences into component elements to identify suitable work duties, while providing an objective basis for work load increases and measurements.</w:t>
      </w:r>
    </w:p>
  </w:footnote>
  <w:footnote w:id="8">
    <w:p w14:paraId="592A2639" w14:textId="77777777" w:rsidR="0093396F" w:rsidRPr="00881D57" w:rsidRDefault="0093396F">
      <w:pPr>
        <w:pStyle w:val="FootnoteText"/>
      </w:pPr>
      <w:r>
        <w:rPr>
          <w:rStyle w:val="FootnoteReference"/>
        </w:rPr>
        <w:footnoteRef/>
      </w:r>
      <w:r>
        <w:t xml:space="preserve"> Human Factors and Ergonomics Society of Australia (1998), </w:t>
      </w:r>
      <w:r w:rsidRPr="00881D57">
        <w:rPr>
          <w:i/>
        </w:rPr>
        <w:t>Competency Standards for Ergonomists</w:t>
      </w:r>
      <w:r>
        <w:t xml:space="preserve"> [online] </w:t>
      </w:r>
      <w:hyperlink r:id="rId8" w:history="1">
        <w:r w:rsidRPr="00303D46">
          <w:rPr>
            <w:rStyle w:val="Hyperlink"/>
          </w:rPr>
          <w:t>http://www.ergonomics.org.au/downloads/Competency_Standards_for_Ergonomists/F143-110943-Competency_Based_Standards_for_Ergonomists.pdf</w:t>
        </w:r>
      </w:hyperlink>
      <w:r>
        <w:t xml:space="preserve"> </w:t>
      </w:r>
    </w:p>
  </w:footnote>
  <w:footnote w:id="9">
    <w:p w14:paraId="41094A86" w14:textId="77777777" w:rsidR="0093396F" w:rsidRPr="00881D57" w:rsidRDefault="0093396F">
      <w:pPr>
        <w:pStyle w:val="FootnoteText"/>
      </w:pPr>
      <w:r>
        <w:rPr>
          <w:rStyle w:val="FootnoteReference"/>
        </w:rPr>
        <w:footnoteRef/>
      </w:r>
      <w:r>
        <w:t xml:space="preserve"> Human Factors and Ergonomics Society of Australia (2010), </w:t>
      </w:r>
      <w:r>
        <w:rPr>
          <w:i/>
        </w:rPr>
        <w:t>Ergonomics Guidelines for Occupational Health Practice in Industrially Developing Countries</w:t>
      </w:r>
      <w:r>
        <w:t xml:space="preserve"> [online] </w:t>
      </w:r>
      <w:hyperlink r:id="rId9" w:history="1">
        <w:r w:rsidRPr="00303D46">
          <w:rPr>
            <w:rStyle w:val="Hyperlink"/>
          </w:rPr>
          <w:t>http://www.ergonomics.org.au/downloads/HFESA_Literature/ERGONOMICS_GUIDELINES_Low_res_Final_April_2010.pdf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0933" w14:textId="77777777" w:rsidR="0093396F" w:rsidRDefault="00933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45683"/>
      <w:docPartObj>
        <w:docPartGallery w:val="Watermarks"/>
        <w:docPartUnique/>
      </w:docPartObj>
    </w:sdtPr>
    <w:sdtEndPr/>
    <w:sdtContent>
      <w:p w14:paraId="1A18043B" w14:textId="77777777" w:rsidR="0093396F" w:rsidRDefault="003A7660">
        <w:pPr>
          <w:pStyle w:val="Header"/>
        </w:pPr>
        <w:r>
          <w:rPr>
            <w:noProof/>
            <w:lang w:val="en-US"/>
          </w:rPr>
          <w:pict w14:anchorId="470BA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E6B5" w14:textId="77777777" w:rsidR="0093396F" w:rsidRDefault="00933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B04"/>
    <w:multiLevelType w:val="hybridMultilevel"/>
    <w:tmpl w:val="DE9E09B0"/>
    <w:lvl w:ilvl="0" w:tplc="3278AFD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22AD7"/>
    <w:multiLevelType w:val="hybridMultilevel"/>
    <w:tmpl w:val="7BD4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C0AA7"/>
    <w:multiLevelType w:val="hybridMultilevel"/>
    <w:tmpl w:val="B5AC3162"/>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5E84A68"/>
    <w:multiLevelType w:val="multilevel"/>
    <w:tmpl w:val="74C04A9C"/>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0743495F"/>
    <w:multiLevelType w:val="hybridMultilevel"/>
    <w:tmpl w:val="739A50CE"/>
    <w:lvl w:ilvl="0" w:tplc="D81415E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6046F0"/>
    <w:multiLevelType w:val="hybridMultilevel"/>
    <w:tmpl w:val="F5B61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B074E"/>
    <w:multiLevelType w:val="hybridMultilevel"/>
    <w:tmpl w:val="E2044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01D87"/>
    <w:multiLevelType w:val="hybridMultilevel"/>
    <w:tmpl w:val="F4DC4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C45FB9"/>
    <w:multiLevelType w:val="multilevel"/>
    <w:tmpl w:val="DDDCED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E755B72"/>
    <w:multiLevelType w:val="multilevel"/>
    <w:tmpl w:val="C02E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463AC"/>
    <w:multiLevelType w:val="hybridMultilevel"/>
    <w:tmpl w:val="08D4E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42B43"/>
    <w:multiLevelType w:val="multilevel"/>
    <w:tmpl w:val="AD9A7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77567"/>
    <w:multiLevelType w:val="hybridMultilevel"/>
    <w:tmpl w:val="5A389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0F4AC8"/>
    <w:multiLevelType w:val="hybridMultilevel"/>
    <w:tmpl w:val="54C211DE"/>
    <w:lvl w:ilvl="0" w:tplc="8458A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265EF3"/>
    <w:multiLevelType w:val="hybridMultilevel"/>
    <w:tmpl w:val="9442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5635AB"/>
    <w:multiLevelType w:val="hybridMultilevel"/>
    <w:tmpl w:val="9AC0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0002C8"/>
    <w:multiLevelType w:val="hybridMultilevel"/>
    <w:tmpl w:val="B11C1C96"/>
    <w:lvl w:ilvl="0" w:tplc="86F029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E44538"/>
    <w:multiLevelType w:val="hybridMultilevel"/>
    <w:tmpl w:val="23223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BA053C"/>
    <w:multiLevelType w:val="hybridMultilevel"/>
    <w:tmpl w:val="12F4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3B4AE1"/>
    <w:multiLevelType w:val="hybridMultilevel"/>
    <w:tmpl w:val="C246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101E5E"/>
    <w:multiLevelType w:val="multilevel"/>
    <w:tmpl w:val="DDDCED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84C1630"/>
    <w:multiLevelType w:val="hybridMultilevel"/>
    <w:tmpl w:val="E050167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B0C289F"/>
    <w:multiLevelType w:val="hybridMultilevel"/>
    <w:tmpl w:val="E1423B06"/>
    <w:lvl w:ilvl="0" w:tplc="CED0A26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F307D4D"/>
    <w:multiLevelType w:val="hybridMultilevel"/>
    <w:tmpl w:val="96E68B00"/>
    <w:lvl w:ilvl="0" w:tplc="388A860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A4577A"/>
    <w:multiLevelType w:val="hybridMultilevel"/>
    <w:tmpl w:val="446A270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C37BD3"/>
    <w:multiLevelType w:val="hybridMultilevel"/>
    <w:tmpl w:val="ABC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BA111B"/>
    <w:multiLevelType w:val="hybridMultilevel"/>
    <w:tmpl w:val="FE720DBE"/>
    <w:lvl w:ilvl="0" w:tplc="8458A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6BB706C"/>
    <w:multiLevelType w:val="hybridMultilevel"/>
    <w:tmpl w:val="50E6079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37560E21"/>
    <w:multiLevelType w:val="multilevel"/>
    <w:tmpl w:val="5C0C8D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71250F"/>
    <w:multiLevelType w:val="hybridMultilevel"/>
    <w:tmpl w:val="BE5A26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3357D8"/>
    <w:multiLevelType w:val="multilevel"/>
    <w:tmpl w:val="71E4B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430BF3"/>
    <w:multiLevelType w:val="hybridMultilevel"/>
    <w:tmpl w:val="2F44C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992AD3"/>
    <w:multiLevelType w:val="hybridMultilevel"/>
    <w:tmpl w:val="2A14B7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6C191B"/>
    <w:multiLevelType w:val="hybridMultilevel"/>
    <w:tmpl w:val="834EC016"/>
    <w:lvl w:ilvl="0" w:tplc="A3D8144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297614"/>
    <w:multiLevelType w:val="hybridMultilevel"/>
    <w:tmpl w:val="617E7C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435444"/>
    <w:multiLevelType w:val="hybridMultilevel"/>
    <w:tmpl w:val="5CD4B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EF26176"/>
    <w:multiLevelType w:val="hybridMultilevel"/>
    <w:tmpl w:val="86447218"/>
    <w:lvl w:ilvl="0" w:tplc="8458A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114CDE"/>
    <w:multiLevelType w:val="hybridMultilevel"/>
    <w:tmpl w:val="4BA4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632045"/>
    <w:multiLevelType w:val="hybridMultilevel"/>
    <w:tmpl w:val="B39AAC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4E87F93"/>
    <w:multiLevelType w:val="hybridMultilevel"/>
    <w:tmpl w:val="196A7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606356"/>
    <w:multiLevelType w:val="hybridMultilevel"/>
    <w:tmpl w:val="727C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EC3FF7"/>
    <w:multiLevelType w:val="hybridMultilevel"/>
    <w:tmpl w:val="569E6D40"/>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5DA25DC7"/>
    <w:multiLevelType w:val="multilevel"/>
    <w:tmpl w:val="D9402E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533265C"/>
    <w:multiLevelType w:val="multilevel"/>
    <w:tmpl w:val="AFE0C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6D5B90"/>
    <w:multiLevelType w:val="hybridMultilevel"/>
    <w:tmpl w:val="ED022C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C74B5D"/>
    <w:multiLevelType w:val="hybridMultilevel"/>
    <w:tmpl w:val="FE04A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155A7E"/>
    <w:multiLevelType w:val="hybridMultilevel"/>
    <w:tmpl w:val="B2B8D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CE7D04"/>
    <w:multiLevelType w:val="hybridMultilevel"/>
    <w:tmpl w:val="AD22A7E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75242884"/>
    <w:multiLevelType w:val="hybridMultilevel"/>
    <w:tmpl w:val="16CC0EB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7677F17"/>
    <w:multiLevelType w:val="hybridMultilevel"/>
    <w:tmpl w:val="2BBE9D12"/>
    <w:lvl w:ilvl="0" w:tplc="3278AFD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3"/>
  </w:num>
  <w:num w:numId="4">
    <w:abstractNumId w:val="36"/>
  </w:num>
  <w:num w:numId="5">
    <w:abstractNumId w:val="12"/>
  </w:num>
  <w:num w:numId="6">
    <w:abstractNumId w:val="38"/>
  </w:num>
  <w:num w:numId="7">
    <w:abstractNumId w:val="44"/>
  </w:num>
  <w:num w:numId="8">
    <w:abstractNumId w:val="23"/>
  </w:num>
  <w:num w:numId="9">
    <w:abstractNumId w:val="20"/>
  </w:num>
  <w:num w:numId="10">
    <w:abstractNumId w:val="8"/>
  </w:num>
  <w:num w:numId="11">
    <w:abstractNumId w:val="42"/>
  </w:num>
  <w:num w:numId="12">
    <w:abstractNumId w:val="4"/>
  </w:num>
  <w:num w:numId="13">
    <w:abstractNumId w:val="39"/>
  </w:num>
  <w:num w:numId="14">
    <w:abstractNumId w:val="49"/>
  </w:num>
  <w:num w:numId="15">
    <w:abstractNumId w:val="0"/>
  </w:num>
  <w:num w:numId="16">
    <w:abstractNumId w:val="19"/>
  </w:num>
  <w:num w:numId="17">
    <w:abstractNumId w:val="25"/>
  </w:num>
  <w:num w:numId="18">
    <w:abstractNumId w:val="40"/>
  </w:num>
  <w:num w:numId="19">
    <w:abstractNumId w:val="14"/>
  </w:num>
  <w:num w:numId="20">
    <w:abstractNumId w:val="17"/>
  </w:num>
  <w:num w:numId="21">
    <w:abstractNumId w:val="21"/>
  </w:num>
  <w:num w:numId="22">
    <w:abstractNumId w:val="3"/>
  </w:num>
  <w:num w:numId="23">
    <w:abstractNumId w:val="5"/>
  </w:num>
  <w:num w:numId="24">
    <w:abstractNumId w:val="15"/>
  </w:num>
  <w:num w:numId="25">
    <w:abstractNumId w:val="48"/>
  </w:num>
  <w:num w:numId="26">
    <w:abstractNumId w:val="45"/>
  </w:num>
  <w:num w:numId="27">
    <w:abstractNumId w:val="1"/>
  </w:num>
  <w:num w:numId="28">
    <w:abstractNumId w:val="2"/>
  </w:num>
  <w:num w:numId="29">
    <w:abstractNumId w:val="18"/>
  </w:num>
  <w:num w:numId="30">
    <w:abstractNumId w:val="22"/>
  </w:num>
  <w:num w:numId="31">
    <w:abstractNumId w:val="9"/>
  </w:num>
  <w:num w:numId="32">
    <w:abstractNumId w:val="6"/>
  </w:num>
  <w:num w:numId="33">
    <w:abstractNumId w:val="7"/>
  </w:num>
  <w:num w:numId="34">
    <w:abstractNumId w:val="37"/>
  </w:num>
  <w:num w:numId="35">
    <w:abstractNumId w:val="33"/>
  </w:num>
  <w:num w:numId="36">
    <w:abstractNumId w:val="46"/>
  </w:num>
  <w:num w:numId="37">
    <w:abstractNumId w:val="27"/>
  </w:num>
  <w:num w:numId="38">
    <w:abstractNumId w:val="41"/>
  </w:num>
  <w:num w:numId="39">
    <w:abstractNumId w:val="32"/>
  </w:num>
  <w:num w:numId="40">
    <w:abstractNumId w:val="31"/>
  </w:num>
  <w:num w:numId="41">
    <w:abstractNumId w:val="47"/>
  </w:num>
  <w:num w:numId="42">
    <w:abstractNumId w:val="34"/>
  </w:num>
  <w:num w:numId="43">
    <w:abstractNumId w:val="35"/>
  </w:num>
  <w:num w:numId="44">
    <w:abstractNumId w:val="43"/>
  </w:num>
  <w:num w:numId="45">
    <w:abstractNumId w:val="30"/>
  </w:num>
  <w:num w:numId="46">
    <w:abstractNumId w:val="10"/>
  </w:num>
  <w:num w:numId="47">
    <w:abstractNumId w:val="24"/>
  </w:num>
  <w:num w:numId="48">
    <w:abstractNumId w:val="28"/>
  </w:num>
  <w:num w:numId="49">
    <w:abstractNumId w:val="1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2A"/>
    <w:rsid w:val="00000FAA"/>
    <w:rsid w:val="00001DEB"/>
    <w:rsid w:val="00002465"/>
    <w:rsid w:val="00003315"/>
    <w:rsid w:val="000034E6"/>
    <w:rsid w:val="000062B5"/>
    <w:rsid w:val="0000669F"/>
    <w:rsid w:val="00010246"/>
    <w:rsid w:val="0001239A"/>
    <w:rsid w:val="000137FB"/>
    <w:rsid w:val="0001402B"/>
    <w:rsid w:val="00023966"/>
    <w:rsid w:val="00027CB7"/>
    <w:rsid w:val="0003308B"/>
    <w:rsid w:val="00033AF1"/>
    <w:rsid w:val="00035653"/>
    <w:rsid w:val="00035E13"/>
    <w:rsid w:val="000376E5"/>
    <w:rsid w:val="00055776"/>
    <w:rsid w:val="0006174B"/>
    <w:rsid w:val="00063AF2"/>
    <w:rsid w:val="00066AC8"/>
    <w:rsid w:val="00066DDD"/>
    <w:rsid w:val="00066ED8"/>
    <w:rsid w:val="000673C5"/>
    <w:rsid w:val="00067CEE"/>
    <w:rsid w:val="00070E3A"/>
    <w:rsid w:val="0007107D"/>
    <w:rsid w:val="00077556"/>
    <w:rsid w:val="00077E03"/>
    <w:rsid w:val="00081E30"/>
    <w:rsid w:val="00082277"/>
    <w:rsid w:val="00085444"/>
    <w:rsid w:val="00091D45"/>
    <w:rsid w:val="00094C76"/>
    <w:rsid w:val="00097828"/>
    <w:rsid w:val="00097F98"/>
    <w:rsid w:val="000A1D28"/>
    <w:rsid w:val="000A324B"/>
    <w:rsid w:val="000A366B"/>
    <w:rsid w:val="000A418D"/>
    <w:rsid w:val="000A4730"/>
    <w:rsid w:val="000A5CCE"/>
    <w:rsid w:val="000B1671"/>
    <w:rsid w:val="000B3BEB"/>
    <w:rsid w:val="000B4A6A"/>
    <w:rsid w:val="000B52B8"/>
    <w:rsid w:val="000B73D1"/>
    <w:rsid w:val="000D02D5"/>
    <w:rsid w:val="000D5C85"/>
    <w:rsid w:val="000D5EF7"/>
    <w:rsid w:val="000E10B5"/>
    <w:rsid w:val="000E25DF"/>
    <w:rsid w:val="000E2F53"/>
    <w:rsid w:val="000E30B5"/>
    <w:rsid w:val="000F2672"/>
    <w:rsid w:val="000F3164"/>
    <w:rsid w:val="000F5253"/>
    <w:rsid w:val="000F5D2E"/>
    <w:rsid w:val="000F5F8B"/>
    <w:rsid w:val="000F7F70"/>
    <w:rsid w:val="00102E2F"/>
    <w:rsid w:val="00105B74"/>
    <w:rsid w:val="00106D08"/>
    <w:rsid w:val="00111607"/>
    <w:rsid w:val="0011313A"/>
    <w:rsid w:val="001132AE"/>
    <w:rsid w:val="00113CBD"/>
    <w:rsid w:val="001165E1"/>
    <w:rsid w:val="00116835"/>
    <w:rsid w:val="00120840"/>
    <w:rsid w:val="00124D1E"/>
    <w:rsid w:val="00131FF7"/>
    <w:rsid w:val="001324EA"/>
    <w:rsid w:val="00133DDB"/>
    <w:rsid w:val="00136791"/>
    <w:rsid w:val="00136DA5"/>
    <w:rsid w:val="00137B64"/>
    <w:rsid w:val="00144F9E"/>
    <w:rsid w:val="0015137E"/>
    <w:rsid w:val="00154A20"/>
    <w:rsid w:val="00154E90"/>
    <w:rsid w:val="001554F8"/>
    <w:rsid w:val="001565DF"/>
    <w:rsid w:val="0016133F"/>
    <w:rsid w:val="00165A20"/>
    <w:rsid w:val="00171CAC"/>
    <w:rsid w:val="00174DB1"/>
    <w:rsid w:val="00175756"/>
    <w:rsid w:val="001810FF"/>
    <w:rsid w:val="001861FB"/>
    <w:rsid w:val="00187232"/>
    <w:rsid w:val="00191383"/>
    <w:rsid w:val="0019382F"/>
    <w:rsid w:val="001A1051"/>
    <w:rsid w:val="001A22C1"/>
    <w:rsid w:val="001A5FE5"/>
    <w:rsid w:val="001A71A0"/>
    <w:rsid w:val="001B10CA"/>
    <w:rsid w:val="001B1D69"/>
    <w:rsid w:val="001B427C"/>
    <w:rsid w:val="001B6D2B"/>
    <w:rsid w:val="001B736D"/>
    <w:rsid w:val="001C1B4F"/>
    <w:rsid w:val="001C3615"/>
    <w:rsid w:val="001C553D"/>
    <w:rsid w:val="001D290D"/>
    <w:rsid w:val="001D3D11"/>
    <w:rsid w:val="001D3F70"/>
    <w:rsid w:val="001D4E3E"/>
    <w:rsid w:val="001D516A"/>
    <w:rsid w:val="001E02EF"/>
    <w:rsid w:val="001E2955"/>
    <w:rsid w:val="001E3EB5"/>
    <w:rsid w:val="001E5581"/>
    <w:rsid w:val="001E7A62"/>
    <w:rsid w:val="001F07D6"/>
    <w:rsid w:val="001F1FA4"/>
    <w:rsid w:val="001F4309"/>
    <w:rsid w:val="001F5002"/>
    <w:rsid w:val="001F5B4E"/>
    <w:rsid w:val="001F6CD1"/>
    <w:rsid w:val="001F6F50"/>
    <w:rsid w:val="0020014E"/>
    <w:rsid w:val="002006C8"/>
    <w:rsid w:val="00201A76"/>
    <w:rsid w:val="00203F61"/>
    <w:rsid w:val="002049E0"/>
    <w:rsid w:val="00207A90"/>
    <w:rsid w:val="00212C4B"/>
    <w:rsid w:val="002155AA"/>
    <w:rsid w:val="0021576C"/>
    <w:rsid w:val="0021666C"/>
    <w:rsid w:val="002241B0"/>
    <w:rsid w:val="0022680A"/>
    <w:rsid w:val="00232463"/>
    <w:rsid w:val="00232C9F"/>
    <w:rsid w:val="0023380E"/>
    <w:rsid w:val="00233D1A"/>
    <w:rsid w:val="00234F90"/>
    <w:rsid w:val="002353C1"/>
    <w:rsid w:val="00237F23"/>
    <w:rsid w:val="0024462C"/>
    <w:rsid w:val="00247495"/>
    <w:rsid w:val="0025721B"/>
    <w:rsid w:val="002614EC"/>
    <w:rsid w:val="00262419"/>
    <w:rsid w:val="00262EF0"/>
    <w:rsid w:val="002636DB"/>
    <w:rsid w:val="00263871"/>
    <w:rsid w:val="00270FED"/>
    <w:rsid w:val="00271B77"/>
    <w:rsid w:val="00273B7A"/>
    <w:rsid w:val="00274C8F"/>
    <w:rsid w:val="00275DA6"/>
    <w:rsid w:val="00280284"/>
    <w:rsid w:val="00283678"/>
    <w:rsid w:val="00284C4C"/>
    <w:rsid w:val="002863BB"/>
    <w:rsid w:val="002905DE"/>
    <w:rsid w:val="00290EA6"/>
    <w:rsid w:val="0029384D"/>
    <w:rsid w:val="00295E99"/>
    <w:rsid w:val="00296E8A"/>
    <w:rsid w:val="002A249D"/>
    <w:rsid w:val="002A3131"/>
    <w:rsid w:val="002A443B"/>
    <w:rsid w:val="002A6850"/>
    <w:rsid w:val="002A73D9"/>
    <w:rsid w:val="002B2804"/>
    <w:rsid w:val="002B4881"/>
    <w:rsid w:val="002B4EC4"/>
    <w:rsid w:val="002C3BFB"/>
    <w:rsid w:val="002C4993"/>
    <w:rsid w:val="002C5A20"/>
    <w:rsid w:val="002D25AA"/>
    <w:rsid w:val="002D2FE7"/>
    <w:rsid w:val="002D3DFC"/>
    <w:rsid w:val="002D5D0E"/>
    <w:rsid w:val="002D6363"/>
    <w:rsid w:val="002D73F3"/>
    <w:rsid w:val="002E299D"/>
    <w:rsid w:val="002E54F9"/>
    <w:rsid w:val="002E5916"/>
    <w:rsid w:val="002E7B1C"/>
    <w:rsid w:val="002F0751"/>
    <w:rsid w:val="002F1CB3"/>
    <w:rsid w:val="002F21DE"/>
    <w:rsid w:val="002F27CE"/>
    <w:rsid w:val="002F539D"/>
    <w:rsid w:val="002F6A2F"/>
    <w:rsid w:val="00300194"/>
    <w:rsid w:val="0030244B"/>
    <w:rsid w:val="00304BDB"/>
    <w:rsid w:val="0030560D"/>
    <w:rsid w:val="00306C46"/>
    <w:rsid w:val="00310077"/>
    <w:rsid w:val="00320565"/>
    <w:rsid w:val="0032509B"/>
    <w:rsid w:val="0032730D"/>
    <w:rsid w:val="0033043A"/>
    <w:rsid w:val="0033302F"/>
    <w:rsid w:val="00334F2C"/>
    <w:rsid w:val="00336E92"/>
    <w:rsid w:val="003401DB"/>
    <w:rsid w:val="00343B2A"/>
    <w:rsid w:val="0034445B"/>
    <w:rsid w:val="0035158B"/>
    <w:rsid w:val="00354DB3"/>
    <w:rsid w:val="00357839"/>
    <w:rsid w:val="003634B5"/>
    <w:rsid w:val="00373332"/>
    <w:rsid w:val="003738DF"/>
    <w:rsid w:val="0037514A"/>
    <w:rsid w:val="003759FC"/>
    <w:rsid w:val="00376EF5"/>
    <w:rsid w:val="003776AB"/>
    <w:rsid w:val="003845B7"/>
    <w:rsid w:val="0038612F"/>
    <w:rsid w:val="0038704D"/>
    <w:rsid w:val="00387BC0"/>
    <w:rsid w:val="00391E24"/>
    <w:rsid w:val="0039220C"/>
    <w:rsid w:val="00392ACA"/>
    <w:rsid w:val="00394E04"/>
    <w:rsid w:val="00394F21"/>
    <w:rsid w:val="00395C7D"/>
    <w:rsid w:val="003971D8"/>
    <w:rsid w:val="003A2C38"/>
    <w:rsid w:val="003A6183"/>
    <w:rsid w:val="003A6301"/>
    <w:rsid w:val="003A7660"/>
    <w:rsid w:val="003B1129"/>
    <w:rsid w:val="003B1D5A"/>
    <w:rsid w:val="003B5478"/>
    <w:rsid w:val="003B7C7D"/>
    <w:rsid w:val="003C1AA0"/>
    <w:rsid w:val="003C2067"/>
    <w:rsid w:val="003C317F"/>
    <w:rsid w:val="003C3EC3"/>
    <w:rsid w:val="003C44CD"/>
    <w:rsid w:val="003D3C19"/>
    <w:rsid w:val="003D7844"/>
    <w:rsid w:val="003E2C40"/>
    <w:rsid w:val="003E3BCF"/>
    <w:rsid w:val="003F0695"/>
    <w:rsid w:val="003F0D4C"/>
    <w:rsid w:val="003F764C"/>
    <w:rsid w:val="0040111E"/>
    <w:rsid w:val="00402DD6"/>
    <w:rsid w:val="004062AE"/>
    <w:rsid w:val="00406BF3"/>
    <w:rsid w:val="0040703A"/>
    <w:rsid w:val="004221D4"/>
    <w:rsid w:val="004224CC"/>
    <w:rsid w:val="00422792"/>
    <w:rsid w:val="00425AE0"/>
    <w:rsid w:val="00425FCC"/>
    <w:rsid w:val="00427DAC"/>
    <w:rsid w:val="00427F01"/>
    <w:rsid w:val="00430610"/>
    <w:rsid w:val="0043062E"/>
    <w:rsid w:val="00434B38"/>
    <w:rsid w:val="0043632D"/>
    <w:rsid w:val="00437469"/>
    <w:rsid w:val="0044216E"/>
    <w:rsid w:val="00442C6D"/>
    <w:rsid w:val="00445B10"/>
    <w:rsid w:val="00445E04"/>
    <w:rsid w:val="00446DB9"/>
    <w:rsid w:val="00447230"/>
    <w:rsid w:val="00451758"/>
    <w:rsid w:val="00453504"/>
    <w:rsid w:val="00453DBA"/>
    <w:rsid w:val="004543C6"/>
    <w:rsid w:val="00455C5E"/>
    <w:rsid w:val="00460C58"/>
    <w:rsid w:val="00463B58"/>
    <w:rsid w:val="00465053"/>
    <w:rsid w:val="004652AE"/>
    <w:rsid w:val="004656A4"/>
    <w:rsid w:val="00465731"/>
    <w:rsid w:val="00466121"/>
    <w:rsid w:val="00471F3E"/>
    <w:rsid w:val="004735FC"/>
    <w:rsid w:val="00474863"/>
    <w:rsid w:val="004759E1"/>
    <w:rsid w:val="00476B36"/>
    <w:rsid w:val="00477DEE"/>
    <w:rsid w:val="00480297"/>
    <w:rsid w:val="00481855"/>
    <w:rsid w:val="00481AEA"/>
    <w:rsid w:val="00481CDE"/>
    <w:rsid w:val="00481FBE"/>
    <w:rsid w:val="00483798"/>
    <w:rsid w:val="00483D16"/>
    <w:rsid w:val="00490B8D"/>
    <w:rsid w:val="00492D6F"/>
    <w:rsid w:val="00493048"/>
    <w:rsid w:val="004934CC"/>
    <w:rsid w:val="00497048"/>
    <w:rsid w:val="004A1D69"/>
    <w:rsid w:val="004A1DD9"/>
    <w:rsid w:val="004A23C8"/>
    <w:rsid w:val="004A4F3B"/>
    <w:rsid w:val="004A6D73"/>
    <w:rsid w:val="004B1C39"/>
    <w:rsid w:val="004B3531"/>
    <w:rsid w:val="004B6AEF"/>
    <w:rsid w:val="004B6CCB"/>
    <w:rsid w:val="004B6D27"/>
    <w:rsid w:val="004B70C3"/>
    <w:rsid w:val="004C09C8"/>
    <w:rsid w:val="004C16AB"/>
    <w:rsid w:val="004C1E20"/>
    <w:rsid w:val="004C3044"/>
    <w:rsid w:val="004D3670"/>
    <w:rsid w:val="004D6327"/>
    <w:rsid w:val="004D6D75"/>
    <w:rsid w:val="004D7C8A"/>
    <w:rsid w:val="004E2063"/>
    <w:rsid w:val="004E3685"/>
    <w:rsid w:val="004E4B0E"/>
    <w:rsid w:val="004F14E4"/>
    <w:rsid w:val="004F4232"/>
    <w:rsid w:val="004F4F3B"/>
    <w:rsid w:val="0050120A"/>
    <w:rsid w:val="00501F1D"/>
    <w:rsid w:val="00506CFA"/>
    <w:rsid w:val="00506F5B"/>
    <w:rsid w:val="005107A9"/>
    <w:rsid w:val="0051095E"/>
    <w:rsid w:val="00510C7B"/>
    <w:rsid w:val="00513838"/>
    <w:rsid w:val="00513C08"/>
    <w:rsid w:val="00516C02"/>
    <w:rsid w:val="00522C6D"/>
    <w:rsid w:val="005253F8"/>
    <w:rsid w:val="00525418"/>
    <w:rsid w:val="0053151D"/>
    <w:rsid w:val="00531D76"/>
    <w:rsid w:val="005326EA"/>
    <w:rsid w:val="00533F52"/>
    <w:rsid w:val="00534260"/>
    <w:rsid w:val="00537E01"/>
    <w:rsid w:val="00541647"/>
    <w:rsid w:val="00542731"/>
    <w:rsid w:val="00546481"/>
    <w:rsid w:val="00550BFA"/>
    <w:rsid w:val="00550FBB"/>
    <w:rsid w:val="00551EA3"/>
    <w:rsid w:val="00555F86"/>
    <w:rsid w:val="00557858"/>
    <w:rsid w:val="00561A59"/>
    <w:rsid w:val="005631C9"/>
    <w:rsid w:val="00563827"/>
    <w:rsid w:val="0056662D"/>
    <w:rsid w:val="00570CB0"/>
    <w:rsid w:val="005734A4"/>
    <w:rsid w:val="00574755"/>
    <w:rsid w:val="00575AB3"/>
    <w:rsid w:val="00577508"/>
    <w:rsid w:val="00580840"/>
    <w:rsid w:val="00581279"/>
    <w:rsid w:val="005922A7"/>
    <w:rsid w:val="005925F3"/>
    <w:rsid w:val="0059264D"/>
    <w:rsid w:val="00592842"/>
    <w:rsid w:val="00594FC7"/>
    <w:rsid w:val="005A1D31"/>
    <w:rsid w:val="005A1FF9"/>
    <w:rsid w:val="005C1DFF"/>
    <w:rsid w:val="005C5047"/>
    <w:rsid w:val="005C542F"/>
    <w:rsid w:val="005C7C91"/>
    <w:rsid w:val="005D1C86"/>
    <w:rsid w:val="005E12F9"/>
    <w:rsid w:val="005E1D91"/>
    <w:rsid w:val="005E1E33"/>
    <w:rsid w:val="005E5968"/>
    <w:rsid w:val="005E720C"/>
    <w:rsid w:val="005E7C5F"/>
    <w:rsid w:val="005F2056"/>
    <w:rsid w:val="005F3557"/>
    <w:rsid w:val="005F49F9"/>
    <w:rsid w:val="006017E3"/>
    <w:rsid w:val="006034C7"/>
    <w:rsid w:val="00605424"/>
    <w:rsid w:val="00606164"/>
    <w:rsid w:val="006103A5"/>
    <w:rsid w:val="006112FC"/>
    <w:rsid w:val="0061138E"/>
    <w:rsid w:val="0061744E"/>
    <w:rsid w:val="006259E8"/>
    <w:rsid w:val="00625A98"/>
    <w:rsid w:val="006273FC"/>
    <w:rsid w:val="00630862"/>
    <w:rsid w:val="00630D6E"/>
    <w:rsid w:val="00631081"/>
    <w:rsid w:val="006324B8"/>
    <w:rsid w:val="00645980"/>
    <w:rsid w:val="00650137"/>
    <w:rsid w:val="00652804"/>
    <w:rsid w:val="00654BB0"/>
    <w:rsid w:val="006574E4"/>
    <w:rsid w:val="00657CEB"/>
    <w:rsid w:val="00666579"/>
    <w:rsid w:val="006673BC"/>
    <w:rsid w:val="00676944"/>
    <w:rsid w:val="006859EE"/>
    <w:rsid w:val="006905F2"/>
    <w:rsid w:val="0069137C"/>
    <w:rsid w:val="00694BEF"/>
    <w:rsid w:val="006976D3"/>
    <w:rsid w:val="006A02F7"/>
    <w:rsid w:val="006A18E7"/>
    <w:rsid w:val="006A474B"/>
    <w:rsid w:val="006A6B61"/>
    <w:rsid w:val="006B1080"/>
    <w:rsid w:val="006B2D7E"/>
    <w:rsid w:val="006B3DEF"/>
    <w:rsid w:val="006B5894"/>
    <w:rsid w:val="006C42B3"/>
    <w:rsid w:val="006C48B3"/>
    <w:rsid w:val="006C5489"/>
    <w:rsid w:val="006C5662"/>
    <w:rsid w:val="006C62A9"/>
    <w:rsid w:val="006C7079"/>
    <w:rsid w:val="006C7263"/>
    <w:rsid w:val="006C78FD"/>
    <w:rsid w:val="006D0435"/>
    <w:rsid w:val="006D30B5"/>
    <w:rsid w:val="006D68B3"/>
    <w:rsid w:val="006D76CC"/>
    <w:rsid w:val="006E04EC"/>
    <w:rsid w:val="006E2911"/>
    <w:rsid w:val="006E5AE4"/>
    <w:rsid w:val="006E62B8"/>
    <w:rsid w:val="006F2BD2"/>
    <w:rsid w:val="006F2F36"/>
    <w:rsid w:val="006F3FCD"/>
    <w:rsid w:val="006F7B69"/>
    <w:rsid w:val="006F7DA7"/>
    <w:rsid w:val="00700DE7"/>
    <w:rsid w:val="007026A5"/>
    <w:rsid w:val="00702DA7"/>
    <w:rsid w:val="007030CB"/>
    <w:rsid w:val="00703AC2"/>
    <w:rsid w:val="007055C3"/>
    <w:rsid w:val="0071066D"/>
    <w:rsid w:val="00713995"/>
    <w:rsid w:val="00720E25"/>
    <w:rsid w:val="007224E4"/>
    <w:rsid w:val="00723CFD"/>
    <w:rsid w:val="00724B1B"/>
    <w:rsid w:val="00726E80"/>
    <w:rsid w:val="00731A98"/>
    <w:rsid w:val="00731E65"/>
    <w:rsid w:val="00732C3E"/>
    <w:rsid w:val="00733B39"/>
    <w:rsid w:val="007367E0"/>
    <w:rsid w:val="007408A7"/>
    <w:rsid w:val="00745190"/>
    <w:rsid w:val="0074734A"/>
    <w:rsid w:val="00751439"/>
    <w:rsid w:val="007534FF"/>
    <w:rsid w:val="007563A2"/>
    <w:rsid w:val="00770B5D"/>
    <w:rsid w:val="007747E6"/>
    <w:rsid w:val="007763A4"/>
    <w:rsid w:val="00777588"/>
    <w:rsid w:val="0078040A"/>
    <w:rsid w:val="00781177"/>
    <w:rsid w:val="00785987"/>
    <w:rsid w:val="00786DF9"/>
    <w:rsid w:val="00791A12"/>
    <w:rsid w:val="00791F05"/>
    <w:rsid w:val="00793E11"/>
    <w:rsid w:val="00794E64"/>
    <w:rsid w:val="0079579F"/>
    <w:rsid w:val="00795CE8"/>
    <w:rsid w:val="00796155"/>
    <w:rsid w:val="00797068"/>
    <w:rsid w:val="00797A8E"/>
    <w:rsid w:val="007A111E"/>
    <w:rsid w:val="007A21B8"/>
    <w:rsid w:val="007A3A9F"/>
    <w:rsid w:val="007A5CEC"/>
    <w:rsid w:val="007A6CAE"/>
    <w:rsid w:val="007B0A37"/>
    <w:rsid w:val="007B46B5"/>
    <w:rsid w:val="007B4FA9"/>
    <w:rsid w:val="007C0AA5"/>
    <w:rsid w:val="007C3048"/>
    <w:rsid w:val="007C3F99"/>
    <w:rsid w:val="007C7CA0"/>
    <w:rsid w:val="007D0FAB"/>
    <w:rsid w:val="007D184A"/>
    <w:rsid w:val="007E0C59"/>
    <w:rsid w:val="007E2DDB"/>
    <w:rsid w:val="007E3EF5"/>
    <w:rsid w:val="007E4CD0"/>
    <w:rsid w:val="007E566D"/>
    <w:rsid w:val="007E7953"/>
    <w:rsid w:val="007F0267"/>
    <w:rsid w:val="007F1933"/>
    <w:rsid w:val="007F3768"/>
    <w:rsid w:val="007F7DB2"/>
    <w:rsid w:val="00800689"/>
    <w:rsid w:val="008027C7"/>
    <w:rsid w:val="008049B1"/>
    <w:rsid w:val="00805D69"/>
    <w:rsid w:val="00806073"/>
    <w:rsid w:val="00806742"/>
    <w:rsid w:val="00806A28"/>
    <w:rsid w:val="008103E7"/>
    <w:rsid w:val="00810D74"/>
    <w:rsid w:val="008118A4"/>
    <w:rsid w:val="008165D4"/>
    <w:rsid w:val="00823265"/>
    <w:rsid w:val="00824023"/>
    <w:rsid w:val="0082530D"/>
    <w:rsid w:val="008256D7"/>
    <w:rsid w:val="00831471"/>
    <w:rsid w:val="00831E44"/>
    <w:rsid w:val="00832B6D"/>
    <w:rsid w:val="00834652"/>
    <w:rsid w:val="00834EB1"/>
    <w:rsid w:val="00845480"/>
    <w:rsid w:val="008457F7"/>
    <w:rsid w:val="00851FC5"/>
    <w:rsid w:val="0085416A"/>
    <w:rsid w:val="0085697F"/>
    <w:rsid w:val="00865EBA"/>
    <w:rsid w:val="00867319"/>
    <w:rsid w:val="008719B1"/>
    <w:rsid w:val="00874393"/>
    <w:rsid w:val="00877DCD"/>
    <w:rsid w:val="008812A0"/>
    <w:rsid w:val="008813FB"/>
    <w:rsid w:val="00881D57"/>
    <w:rsid w:val="0088220B"/>
    <w:rsid w:val="00882BD9"/>
    <w:rsid w:val="00882C0F"/>
    <w:rsid w:val="0088700A"/>
    <w:rsid w:val="008914DF"/>
    <w:rsid w:val="00892E31"/>
    <w:rsid w:val="00893B4D"/>
    <w:rsid w:val="00894188"/>
    <w:rsid w:val="00896626"/>
    <w:rsid w:val="008A170C"/>
    <w:rsid w:val="008A5E75"/>
    <w:rsid w:val="008A6431"/>
    <w:rsid w:val="008A6E97"/>
    <w:rsid w:val="008B26BD"/>
    <w:rsid w:val="008B5D01"/>
    <w:rsid w:val="008B7B12"/>
    <w:rsid w:val="008C1983"/>
    <w:rsid w:val="008C214B"/>
    <w:rsid w:val="008C5415"/>
    <w:rsid w:val="008C718B"/>
    <w:rsid w:val="008C7DF3"/>
    <w:rsid w:val="008D14BE"/>
    <w:rsid w:val="008D62ED"/>
    <w:rsid w:val="008E187B"/>
    <w:rsid w:val="008E4576"/>
    <w:rsid w:val="008E569B"/>
    <w:rsid w:val="008E5B1F"/>
    <w:rsid w:val="008F115C"/>
    <w:rsid w:val="008F1619"/>
    <w:rsid w:val="008F2D2F"/>
    <w:rsid w:val="008F4694"/>
    <w:rsid w:val="008F6EEE"/>
    <w:rsid w:val="00902381"/>
    <w:rsid w:val="009057D9"/>
    <w:rsid w:val="0090702D"/>
    <w:rsid w:val="00913888"/>
    <w:rsid w:val="00914249"/>
    <w:rsid w:val="00915CAD"/>
    <w:rsid w:val="00920236"/>
    <w:rsid w:val="009227A8"/>
    <w:rsid w:val="00927217"/>
    <w:rsid w:val="009321C8"/>
    <w:rsid w:val="00932EAF"/>
    <w:rsid w:val="0093396F"/>
    <w:rsid w:val="00935F9A"/>
    <w:rsid w:val="009376CA"/>
    <w:rsid w:val="00940A77"/>
    <w:rsid w:val="00941731"/>
    <w:rsid w:val="00944FEF"/>
    <w:rsid w:val="00947FE2"/>
    <w:rsid w:val="00950859"/>
    <w:rsid w:val="00952145"/>
    <w:rsid w:val="00954565"/>
    <w:rsid w:val="00954922"/>
    <w:rsid w:val="009553C9"/>
    <w:rsid w:val="00957058"/>
    <w:rsid w:val="009575C8"/>
    <w:rsid w:val="00960C33"/>
    <w:rsid w:val="00962E92"/>
    <w:rsid w:val="00963EA6"/>
    <w:rsid w:val="00964B84"/>
    <w:rsid w:val="00966ABD"/>
    <w:rsid w:val="0097168A"/>
    <w:rsid w:val="00975018"/>
    <w:rsid w:val="009765A5"/>
    <w:rsid w:val="00981114"/>
    <w:rsid w:val="00982346"/>
    <w:rsid w:val="0098664C"/>
    <w:rsid w:val="00987856"/>
    <w:rsid w:val="00992C6C"/>
    <w:rsid w:val="00993148"/>
    <w:rsid w:val="00993AE2"/>
    <w:rsid w:val="009948E9"/>
    <w:rsid w:val="00996A0F"/>
    <w:rsid w:val="00997EF3"/>
    <w:rsid w:val="009A382E"/>
    <w:rsid w:val="009A479B"/>
    <w:rsid w:val="009B0173"/>
    <w:rsid w:val="009B1E47"/>
    <w:rsid w:val="009C16B7"/>
    <w:rsid w:val="009C7F80"/>
    <w:rsid w:val="009D0202"/>
    <w:rsid w:val="009D3FBB"/>
    <w:rsid w:val="009D4467"/>
    <w:rsid w:val="009D477D"/>
    <w:rsid w:val="009D4863"/>
    <w:rsid w:val="009D697D"/>
    <w:rsid w:val="009D7126"/>
    <w:rsid w:val="009D7227"/>
    <w:rsid w:val="009E320D"/>
    <w:rsid w:val="009E4E4D"/>
    <w:rsid w:val="009E5BF0"/>
    <w:rsid w:val="009F34DE"/>
    <w:rsid w:val="009F4C72"/>
    <w:rsid w:val="009F68DF"/>
    <w:rsid w:val="00A01C01"/>
    <w:rsid w:val="00A05046"/>
    <w:rsid w:val="00A053CC"/>
    <w:rsid w:val="00A065C8"/>
    <w:rsid w:val="00A10B62"/>
    <w:rsid w:val="00A11C8A"/>
    <w:rsid w:val="00A11F93"/>
    <w:rsid w:val="00A1519D"/>
    <w:rsid w:val="00A15424"/>
    <w:rsid w:val="00A174AD"/>
    <w:rsid w:val="00A2164C"/>
    <w:rsid w:val="00A22F8C"/>
    <w:rsid w:val="00A241E5"/>
    <w:rsid w:val="00A317C1"/>
    <w:rsid w:val="00A32B04"/>
    <w:rsid w:val="00A34B1B"/>
    <w:rsid w:val="00A362A4"/>
    <w:rsid w:val="00A37976"/>
    <w:rsid w:val="00A37A85"/>
    <w:rsid w:val="00A37C61"/>
    <w:rsid w:val="00A408C2"/>
    <w:rsid w:val="00A418FA"/>
    <w:rsid w:val="00A44653"/>
    <w:rsid w:val="00A44A88"/>
    <w:rsid w:val="00A468EB"/>
    <w:rsid w:val="00A4723F"/>
    <w:rsid w:val="00A502FE"/>
    <w:rsid w:val="00A51ECA"/>
    <w:rsid w:val="00A5210B"/>
    <w:rsid w:val="00A53D22"/>
    <w:rsid w:val="00A55198"/>
    <w:rsid w:val="00A57726"/>
    <w:rsid w:val="00A6329F"/>
    <w:rsid w:val="00A662BC"/>
    <w:rsid w:val="00A670D1"/>
    <w:rsid w:val="00A6784B"/>
    <w:rsid w:val="00A70555"/>
    <w:rsid w:val="00A81007"/>
    <w:rsid w:val="00A8248B"/>
    <w:rsid w:val="00A858C8"/>
    <w:rsid w:val="00A92498"/>
    <w:rsid w:val="00A954F0"/>
    <w:rsid w:val="00AB0299"/>
    <w:rsid w:val="00AB03AC"/>
    <w:rsid w:val="00AB5830"/>
    <w:rsid w:val="00AB5E33"/>
    <w:rsid w:val="00AB5FCB"/>
    <w:rsid w:val="00AB6216"/>
    <w:rsid w:val="00AB7755"/>
    <w:rsid w:val="00AC0BF8"/>
    <w:rsid w:val="00AC307B"/>
    <w:rsid w:val="00AC4DF4"/>
    <w:rsid w:val="00AC5243"/>
    <w:rsid w:val="00AC53DE"/>
    <w:rsid w:val="00AC68E1"/>
    <w:rsid w:val="00AD076C"/>
    <w:rsid w:val="00AD24AA"/>
    <w:rsid w:val="00AD292A"/>
    <w:rsid w:val="00AD2A4F"/>
    <w:rsid w:val="00AD41C2"/>
    <w:rsid w:val="00AE3E90"/>
    <w:rsid w:val="00AE6913"/>
    <w:rsid w:val="00AF1889"/>
    <w:rsid w:val="00AF3D66"/>
    <w:rsid w:val="00AF4818"/>
    <w:rsid w:val="00AF4AA4"/>
    <w:rsid w:val="00AF5211"/>
    <w:rsid w:val="00B001D9"/>
    <w:rsid w:val="00B01FB7"/>
    <w:rsid w:val="00B04CF9"/>
    <w:rsid w:val="00B0638E"/>
    <w:rsid w:val="00B202E3"/>
    <w:rsid w:val="00B2202D"/>
    <w:rsid w:val="00B23EAD"/>
    <w:rsid w:val="00B25098"/>
    <w:rsid w:val="00B2597E"/>
    <w:rsid w:val="00B31143"/>
    <w:rsid w:val="00B33BF9"/>
    <w:rsid w:val="00B43799"/>
    <w:rsid w:val="00B4387B"/>
    <w:rsid w:val="00B447F3"/>
    <w:rsid w:val="00B45ECC"/>
    <w:rsid w:val="00B52BC9"/>
    <w:rsid w:val="00B56322"/>
    <w:rsid w:val="00B6064F"/>
    <w:rsid w:val="00B60653"/>
    <w:rsid w:val="00B66D13"/>
    <w:rsid w:val="00B66EA3"/>
    <w:rsid w:val="00B67036"/>
    <w:rsid w:val="00B70FE1"/>
    <w:rsid w:val="00B74242"/>
    <w:rsid w:val="00B82577"/>
    <w:rsid w:val="00B85841"/>
    <w:rsid w:val="00B9044C"/>
    <w:rsid w:val="00BA1B38"/>
    <w:rsid w:val="00BA6AA5"/>
    <w:rsid w:val="00BB0FA4"/>
    <w:rsid w:val="00BB661D"/>
    <w:rsid w:val="00BB7B31"/>
    <w:rsid w:val="00BC210F"/>
    <w:rsid w:val="00BC366D"/>
    <w:rsid w:val="00BC604A"/>
    <w:rsid w:val="00BC727B"/>
    <w:rsid w:val="00BD2070"/>
    <w:rsid w:val="00BD7287"/>
    <w:rsid w:val="00BE30C0"/>
    <w:rsid w:val="00BE6424"/>
    <w:rsid w:val="00BE6867"/>
    <w:rsid w:val="00BF0564"/>
    <w:rsid w:val="00BF15D6"/>
    <w:rsid w:val="00BF20A9"/>
    <w:rsid w:val="00BF4CD0"/>
    <w:rsid w:val="00BF51AE"/>
    <w:rsid w:val="00C04B0E"/>
    <w:rsid w:val="00C057C8"/>
    <w:rsid w:val="00C06B2E"/>
    <w:rsid w:val="00C13BFB"/>
    <w:rsid w:val="00C140B9"/>
    <w:rsid w:val="00C149B4"/>
    <w:rsid w:val="00C14CC3"/>
    <w:rsid w:val="00C20B47"/>
    <w:rsid w:val="00C23A5A"/>
    <w:rsid w:val="00C252D7"/>
    <w:rsid w:val="00C2602E"/>
    <w:rsid w:val="00C2610C"/>
    <w:rsid w:val="00C3105E"/>
    <w:rsid w:val="00C33F66"/>
    <w:rsid w:val="00C400FE"/>
    <w:rsid w:val="00C40428"/>
    <w:rsid w:val="00C41050"/>
    <w:rsid w:val="00C413BD"/>
    <w:rsid w:val="00C460B6"/>
    <w:rsid w:val="00C53D68"/>
    <w:rsid w:val="00C54E6B"/>
    <w:rsid w:val="00C60074"/>
    <w:rsid w:val="00C72240"/>
    <w:rsid w:val="00C77851"/>
    <w:rsid w:val="00C83987"/>
    <w:rsid w:val="00C85DBB"/>
    <w:rsid w:val="00C87A33"/>
    <w:rsid w:val="00C9020F"/>
    <w:rsid w:val="00C90E22"/>
    <w:rsid w:val="00C935BF"/>
    <w:rsid w:val="00CA2EE8"/>
    <w:rsid w:val="00CA4D28"/>
    <w:rsid w:val="00CB208E"/>
    <w:rsid w:val="00CB532D"/>
    <w:rsid w:val="00CB72DD"/>
    <w:rsid w:val="00CC3AB6"/>
    <w:rsid w:val="00CC4221"/>
    <w:rsid w:val="00CC4276"/>
    <w:rsid w:val="00CC455A"/>
    <w:rsid w:val="00CC7B02"/>
    <w:rsid w:val="00CD1D15"/>
    <w:rsid w:val="00CE655F"/>
    <w:rsid w:val="00CF3CFE"/>
    <w:rsid w:val="00D05CFF"/>
    <w:rsid w:val="00D06AF5"/>
    <w:rsid w:val="00D07FE2"/>
    <w:rsid w:val="00D106BA"/>
    <w:rsid w:val="00D134A9"/>
    <w:rsid w:val="00D165AA"/>
    <w:rsid w:val="00D203DC"/>
    <w:rsid w:val="00D21AE2"/>
    <w:rsid w:val="00D2307B"/>
    <w:rsid w:val="00D26A7D"/>
    <w:rsid w:val="00D30728"/>
    <w:rsid w:val="00D31ED4"/>
    <w:rsid w:val="00D32F3E"/>
    <w:rsid w:val="00D33E16"/>
    <w:rsid w:val="00D33FE2"/>
    <w:rsid w:val="00D35896"/>
    <w:rsid w:val="00D42A23"/>
    <w:rsid w:val="00D4467D"/>
    <w:rsid w:val="00D46457"/>
    <w:rsid w:val="00D507BE"/>
    <w:rsid w:val="00D51085"/>
    <w:rsid w:val="00D51A7C"/>
    <w:rsid w:val="00D52122"/>
    <w:rsid w:val="00D53360"/>
    <w:rsid w:val="00D6376A"/>
    <w:rsid w:val="00D659FD"/>
    <w:rsid w:val="00D65DA8"/>
    <w:rsid w:val="00D70365"/>
    <w:rsid w:val="00D744B6"/>
    <w:rsid w:val="00D76BD0"/>
    <w:rsid w:val="00D8222B"/>
    <w:rsid w:val="00D8272A"/>
    <w:rsid w:val="00D84BD8"/>
    <w:rsid w:val="00D84FB5"/>
    <w:rsid w:val="00D85A72"/>
    <w:rsid w:val="00D86C02"/>
    <w:rsid w:val="00D94505"/>
    <w:rsid w:val="00D94AC0"/>
    <w:rsid w:val="00DA00C8"/>
    <w:rsid w:val="00DA2D5A"/>
    <w:rsid w:val="00DA4554"/>
    <w:rsid w:val="00DB4028"/>
    <w:rsid w:val="00DB4FC6"/>
    <w:rsid w:val="00DB65F7"/>
    <w:rsid w:val="00DB783E"/>
    <w:rsid w:val="00DC7434"/>
    <w:rsid w:val="00DC74A7"/>
    <w:rsid w:val="00DD0946"/>
    <w:rsid w:val="00DD0990"/>
    <w:rsid w:val="00DD523B"/>
    <w:rsid w:val="00DD748B"/>
    <w:rsid w:val="00DD7B9B"/>
    <w:rsid w:val="00DE08B5"/>
    <w:rsid w:val="00DE0B55"/>
    <w:rsid w:val="00DE12E2"/>
    <w:rsid w:val="00DE33C8"/>
    <w:rsid w:val="00DE39A9"/>
    <w:rsid w:val="00DE3D72"/>
    <w:rsid w:val="00DF0F05"/>
    <w:rsid w:val="00DF0FB2"/>
    <w:rsid w:val="00E01E0A"/>
    <w:rsid w:val="00E073BC"/>
    <w:rsid w:val="00E113E6"/>
    <w:rsid w:val="00E11955"/>
    <w:rsid w:val="00E11AD2"/>
    <w:rsid w:val="00E12324"/>
    <w:rsid w:val="00E14276"/>
    <w:rsid w:val="00E205BA"/>
    <w:rsid w:val="00E21B39"/>
    <w:rsid w:val="00E24595"/>
    <w:rsid w:val="00E36D1A"/>
    <w:rsid w:val="00E37BC2"/>
    <w:rsid w:val="00E4028D"/>
    <w:rsid w:val="00E40E97"/>
    <w:rsid w:val="00E415B5"/>
    <w:rsid w:val="00E427CF"/>
    <w:rsid w:val="00E44976"/>
    <w:rsid w:val="00E5138D"/>
    <w:rsid w:val="00E5300C"/>
    <w:rsid w:val="00E5398E"/>
    <w:rsid w:val="00E55A6B"/>
    <w:rsid w:val="00E562E8"/>
    <w:rsid w:val="00E61A20"/>
    <w:rsid w:val="00E6545D"/>
    <w:rsid w:val="00E72913"/>
    <w:rsid w:val="00E73E49"/>
    <w:rsid w:val="00E75616"/>
    <w:rsid w:val="00E77C20"/>
    <w:rsid w:val="00E86527"/>
    <w:rsid w:val="00E8724E"/>
    <w:rsid w:val="00E93987"/>
    <w:rsid w:val="00E953B7"/>
    <w:rsid w:val="00E96568"/>
    <w:rsid w:val="00E974D9"/>
    <w:rsid w:val="00EA159E"/>
    <w:rsid w:val="00EA3270"/>
    <w:rsid w:val="00EB0747"/>
    <w:rsid w:val="00EB2A20"/>
    <w:rsid w:val="00EB5425"/>
    <w:rsid w:val="00EB78F6"/>
    <w:rsid w:val="00EC2B4C"/>
    <w:rsid w:val="00EC5046"/>
    <w:rsid w:val="00EC7870"/>
    <w:rsid w:val="00ED1686"/>
    <w:rsid w:val="00ED2048"/>
    <w:rsid w:val="00ED237F"/>
    <w:rsid w:val="00ED26A5"/>
    <w:rsid w:val="00ED6956"/>
    <w:rsid w:val="00ED6CE1"/>
    <w:rsid w:val="00EE067B"/>
    <w:rsid w:val="00EE4CFE"/>
    <w:rsid w:val="00EE67BA"/>
    <w:rsid w:val="00EF43D9"/>
    <w:rsid w:val="00F02134"/>
    <w:rsid w:val="00F05A27"/>
    <w:rsid w:val="00F05A49"/>
    <w:rsid w:val="00F2074F"/>
    <w:rsid w:val="00F230B5"/>
    <w:rsid w:val="00F32264"/>
    <w:rsid w:val="00F33CFF"/>
    <w:rsid w:val="00F348A2"/>
    <w:rsid w:val="00F406C5"/>
    <w:rsid w:val="00F4237C"/>
    <w:rsid w:val="00F43B93"/>
    <w:rsid w:val="00F50FF6"/>
    <w:rsid w:val="00F540BC"/>
    <w:rsid w:val="00F54A14"/>
    <w:rsid w:val="00F55FB4"/>
    <w:rsid w:val="00F560CF"/>
    <w:rsid w:val="00F56B08"/>
    <w:rsid w:val="00F56EF5"/>
    <w:rsid w:val="00F658BA"/>
    <w:rsid w:val="00F7324B"/>
    <w:rsid w:val="00F754F4"/>
    <w:rsid w:val="00F7570A"/>
    <w:rsid w:val="00F762B7"/>
    <w:rsid w:val="00F80A37"/>
    <w:rsid w:val="00F80D31"/>
    <w:rsid w:val="00F8467C"/>
    <w:rsid w:val="00F846F3"/>
    <w:rsid w:val="00F868FD"/>
    <w:rsid w:val="00F904D9"/>
    <w:rsid w:val="00F91A88"/>
    <w:rsid w:val="00F92C26"/>
    <w:rsid w:val="00F944F9"/>
    <w:rsid w:val="00F9471C"/>
    <w:rsid w:val="00FA07AF"/>
    <w:rsid w:val="00FA1022"/>
    <w:rsid w:val="00FA4D5B"/>
    <w:rsid w:val="00FA6552"/>
    <w:rsid w:val="00FA7713"/>
    <w:rsid w:val="00FB0359"/>
    <w:rsid w:val="00FB0D4A"/>
    <w:rsid w:val="00FB7EBF"/>
    <w:rsid w:val="00FC3B50"/>
    <w:rsid w:val="00FC3C03"/>
    <w:rsid w:val="00FC5AA9"/>
    <w:rsid w:val="00FC60BE"/>
    <w:rsid w:val="00FD1A43"/>
    <w:rsid w:val="00FD1E7A"/>
    <w:rsid w:val="00FD2F34"/>
    <w:rsid w:val="00FE0782"/>
    <w:rsid w:val="00FE1128"/>
    <w:rsid w:val="00FE2356"/>
    <w:rsid w:val="00FE326A"/>
    <w:rsid w:val="00FE4802"/>
    <w:rsid w:val="00FE76AC"/>
    <w:rsid w:val="00FE777F"/>
    <w:rsid w:val="00FF495B"/>
    <w:rsid w:val="00FF5489"/>
    <w:rsid w:val="00FF5705"/>
    <w:rsid w:val="00FF595D"/>
    <w:rsid w:val="00FF66F4"/>
    <w:rsid w:val="00FF7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1C18E"/>
  <w15:docId w15:val="{82B1CDB7-ADBC-40B4-93F8-322ED147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37C"/>
  </w:style>
  <w:style w:type="paragraph" w:styleId="Heading1">
    <w:name w:val="heading 1"/>
    <w:basedOn w:val="Normal"/>
    <w:next w:val="Normal"/>
    <w:link w:val="Heading1Char"/>
    <w:uiPriority w:val="9"/>
    <w:qFormat/>
    <w:rsid w:val="00B259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4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59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A77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6D"/>
    <w:pPr>
      <w:ind w:left="720"/>
      <w:contextualSpacing/>
    </w:pPr>
  </w:style>
  <w:style w:type="paragraph" w:styleId="BalloonText">
    <w:name w:val="Balloon Text"/>
    <w:basedOn w:val="Normal"/>
    <w:link w:val="BalloonTextChar"/>
    <w:uiPriority w:val="99"/>
    <w:semiHidden/>
    <w:unhideWhenUsed/>
    <w:rsid w:val="00F56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EF5"/>
    <w:rPr>
      <w:rFonts w:ascii="Segoe UI" w:hAnsi="Segoe UI" w:cs="Segoe UI"/>
      <w:sz w:val="18"/>
      <w:szCs w:val="18"/>
    </w:rPr>
  </w:style>
  <w:style w:type="character" w:styleId="CommentReference">
    <w:name w:val="annotation reference"/>
    <w:basedOn w:val="DefaultParagraphFont"/>
    <w:uiPriority w:val="99"/>
    <w:semiHidden/>
    <w:unhideWhenUsed/>
    <w:rsid w:val="007367E0"/>
    <w:rPr>
      <w:sz w:val="16"/>
      <w:szCs w:val="16"/>
    </w:rPr>
  </w:style>
  <w:style w:type="paragraph" w:styleId="CommentText">
    <w:name w:val="annotation text"/>
    <w:basedOn w:val="Normal"/>
    <w:link w:val="CommentTextChar"/>
    <w:uiPriority w:val="99"/>
    <w:semiHidden/>
    <w:unhideWhenUsed/>
    <w:rsid w:val="007367E0"/>
    <w:pPr>
      <w:spacing w:line="240" w:lineRule="auto"/>
    </w:pPr>
    <w:rPr>
      <w:sz w:val="20"/>
      <w:szCs w:val="20"/>
    </w:rPr>
  </w:style>
  <w:style w:type="character" w:customStyle="1" w:styleId="CommentTextChar">
    <w:name w:val="Comment Text Char"/>
    <w:basedOn w:val="DefaultParagraphFont"/>
    <w:link w:val="CommentText"/>
    <w:uiPriority w:val="99"/>
    <w:semiHidden/>
    <w:rsid w:val="007367E0"/>
    <w:rPr>
      <w:sz w:val="20"/>
      <w:szCs w:val="20"/>
    </w:rPr>
  </w:style>
  <w:style w:type="paragraph" w:styleId="CommentSubject">
    <w:name w:val="annotation subject"/>
    <w:basedOn w:val="CommentText"/>
    <w:next w:val="CommentText"/>
    <w:link w:val="CommentSubjectChar"/>
    <w:uiPriority w:val="99"/>
    <w:semiHidden/>
    <w:unhideWhenUsed/>
    <w:rsid w:val="007367E0"/>
    <w:rPr>
      <w:b/>
      <w:bCs/>
    </w:rPr>
  </w:style>
  <w:style w:type="character" w:customStyle="1" w:styleId="CommentSubjectChar">
    <w:name w:val="Comment Subject Char"/>
    <w:basedOn w:val="CommentTextChar"/>
    <w:link w:val="CommentSubject"/>
    <w:uiPriority w:val="99"/>
    <w:semiHidden/>
    <w:rsid w:val="007367E0"/>
    <w:rPr>
      <w:b/>
      <w:bCs/>
      <w:sz w:val="20"/>
      <w:szCs w:val="20"/>
    </w:rPr>
  </w:style>
  <w:style w:type="character" w:customStyle="1" w:styleId="Heading2Char">
    <w:name w:val="Heading 2 Char"/>
    <w:basedOn w:val="DefaultParagraphFont"/>
    <w:link w:val="Heading2"/>
    <w:uiPriority w:val="9"/>
    <w:rsid w:val="002C49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2597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2597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A7713"/>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7E7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953"/>
    <w:rPr>
      <w:sz w:val="20"/>
      <w:szCs w:val="20"/>
    </w:rPr>
  </w:style>
  <w:style w:type="character" w:styleId="FootnoteReference">
    <w:name w:val="footnote reference"/>
    <w:basedOn w:val="DefaultParagraphFont"/>
    <w:uiPriority w:val="99"/>
    <w:semiHidden/>
    <w:unhideWhenUsed/>
    <w:rsid w:val="007E7953"/>
    <w:rPr>
      <w:vertAlign w:val="superscript"/>
    </w:rPr>
  </w:style>
  <w:style w:type="character" w:styleId="Hyperlink">
    <w:name w:val="Hyperlink"/>
    <w:basedOn w:val="DefaultParagraphFont"/>
    <w:uiPriority w:val="99"/>
    <w:unhideWhenUsed/>
    <w:rsid w:val="007E7953"/>
    <w:rPr>
      <w:color w:val="0563C1" w:themeColor="hyperlink"/>
      <w:u w:val="single"/>
    </w:rPr>
  </w:style>
  <w:style w:type="paragraph" w:styleId="Header">
    <w:name w:val="header"/>
    <w:basedOn w:val="Normal"/>
    <w:link w:val="HeaderChar"/>
    <w:uiPriority w:val="99"/>
    <w:unhideWhenUsed/>
    <w:rsid w:val="004B7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C3"/>
  </w:style>
  <w:style w:type="paragraph" w:styleId="Footer">
    <w:name w:val="footer"/>
    <w:basedOn w:val="Normal"/>
    <w:link w:val="FooterChar"/>
    <w:uiPriority w:val="99"/>
    <w:unhideWhenUsed/>
    <w:rsid w:val="004B7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C3"/>
  </w:style>
  <w:style w:type="character" w:styleId="FollowedHyperlink">
    <w:name w:val="FollowedHyperlink"/>
    <w:basedOn w:val="DefaultParagraphFont"/>
    <w:uiPriority w:val="99"/>
    <w:semiHidden/>
    <w:unhideWhenUsed/>
    <w:rsid w:val="00785987"/>
    <w:rPr>
      <w:color w:val="954F72" w:themeColor="followedHyperlink"/>
      <w:u w:val="single"/>
    </w:rPr>
  </w:style>
  <w:style w:type="character" w:customStyle="1" w:styleId="s1">
    <w:name w:val="s1"/>
    <w:basedOn w:val="DefaultParagraphFont"/>
    <w:rsid w:val="00081E30"/>
  </w:style>
  <w:style w:type="paragraph" w:styleId="EndnoteText">
    <w:name w:val="endnote text"/>
    <w:basedOn w:val="Normal"/>
    <w:link w:val="EndnoteTextChar"/>
    <w:uiPriority w:val="99"/>
    <w:semiHidden/>
    <w:unhideWhenUsed/>
    <w:rsid w:val="00A954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54F0"/>
    <w:rPr>
      <w:sz w:val="20"/>
      <w:szCs w:val="20"/>
    </w:rPr>
  </w:style>
  <w:style w:type="character" w:styleId="EndnoteReference">
    <w:name w:val="endnote reference"/>
    <w:basedOn w:val="DefaultParagraphFont"/>
    <w:uiPriority w:val="99"/>
    <w:semiHidden/>
    <w:unhideWhenUsed/>
    <w:rsid w:val="00A95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172">
      <w:bodyDiv w:val="1"/>
      <w:marLeft w:val="0"/>
      <w:marRight w:val="0"/>
      <w:marTop w:val="0"/>
      <w:marBottom w:val="0"/>
      <w:divBdr>
        <w:top w:val="none" w:sz="0" w:space="0" w:color="auto"/>
        <w:left w:val="none" w:sz="0" w:space="0" w:color="auto"/>
        <w:bottom w:val="none" w:sz="0" w:space="0" w:color="auto"/>
        <w:right w:val="none" w:sz="0" w:space="0" w:color="auto"/>
      </w:divBdr>
    </w:div>
    <w:div w:id="474762671">
      <w:bodyDiv w:val="1"/>
      <w:marLeft w:val="0"/>
      <w:marRight w:val="0"/>
      <w:marTop w:val="0"/>
      <w:marBottom w:val="0"/>
      <w:divBdr>
        <w:top w:val="none" w:sz="0" w:space="0" w:color="auto"/>
        <w:left w:val="none" w:sz="0" w:space="0" w:color="auto"/>
        <w:bottom w:val="none" w:sz="0" w:space="0" w:color="auto"/>
        <w:right w:val="none" w:sz="0" w:space="0" w:color="auto"/>
      </w:divBdr>
    </w:div>
    <w:div w:id="489640163">
      <w:bodyDiv w:val="1"/>
      <w:marLeft w:val="0"/>
      <w:marRight w:val="0"/>
      <w:marTop w:val="0"/>
      <w:marBottom w:val="0"/>
      <w:divBdr>
        <w:top w:val="none" w:sz="0" w:space="0" w:color="auto"/>
        <w:left w:val="none" w:sz="0" w:space="0" w:color="auto"/>
        <w:bottom w:val="none" w:sz="0" w:space="0" w:color="auto"/>
        <w:right w:val="none" w:sz="0" w:space="0" w:color="auto"/>
      </w:divBdr>
    </w:div>
    <w:div w:id="1252815224">
      <w:bodyDiv w:val="1"/>
      <w:marLeft w:val="0"/>
      <w:marRight w:val="0"/>
      <w:marTop w:val="0"/>
      <w:marBottom w:val="0"/>
      <w:divBdr>
        <w:top w:val="none" w:sz="0" w:space="0" w:color="auto"/>
        <w:left w:val="none" w:sz="0" w:space="0" w:color="auto"/>
        <w:bottom w:val="none" w:sz="0" w:space="0" w:color="auto"/>
        <w:right w:val="none" w:sz="0" w:space="0" w:color="auto"/>
      </w:divBdr>
    </w:div>
    <w:div w:id="1332638563">
      <w:bodyDiv w:val="1"/>
      <w:marLeft w:val="0"/>
      <w:marRight w:val="0"/>
      <w:marTop w:val="0"/>
      <w:marBottom w:val="0"/>
      <w:divBdr>
        <w:top w:val="none" w:sz="0" w:space="0" w:color="auto"/>
        <w:left w:val="none" w:sz="0" w:space="0" w:color="auto"/>
        <w:bottom w:val="none" w:sz="0" w:space="0" w:color="auto"/>
        <w:right w:val="none" w:sz="0" w:space="0" w:color="auto"/>
      </w:divBdr>
    </w:div>
    <w:div w:id="1818954630">
      <w:bodyDiv w:val="1"/>
      <w:marLeft w:val="0"/>
      <w:marRight w:val="0"/>
      <w:marTop w:val="0"/>
      <w:marBottom w:val="0"/>
      <w:divBdr>
        <w:top w:val="none" w:sz="0" w:space="0" w:color="auto"/>
        <w:left w:val="none" w:sz="0" w:space="0" w:color="auto"/>
        <w:bottom w:val="none" w:sz="0" w:space="0" w:color="auto"/>
        <w:right w:val="none" w:sz="0" w:space="0" w:color="auto"/>
      </w:divBdr>
    </w:div>
    <w:div w:id="19423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rgonomics.org.au/downloads/Competency_Standards_for_Ergonomists/F143-110943-Competency_Based_Standards_for_Ergonomists.pdf" TargetMode="External"/><Relationship Id="rId3" Type="http://schemas.openxmlformats.org/officeDocument/2006/relationships/hyperlink" Target="https://www.racp.edu.au/docs/default-source/advocacy-library/realising-the-health-benefits-of-work.pdf" TargetMode="External"/><Relationship Id="rId7" Type="http://schemas.openxmlformats.org/officeDocument/2006/relationships/hyperlink" Target="https://www.worksafe.qld.gov.au/construction/resources/job-task-analysis" TargetMode="External"/><Relationship Id="rId2" Type="http://schemas.openxmlformats.org/officeDocument/2006/relationships/hyperlink" Target="http://www.safeworkaustralia.gov.au/sites/SWA/about/Publications/Documents/940/cost-of-work-related-injury-and-disease-2012-13.docx.pdf" TargetMode="External"/><Relationship Id="rId1" Type="http://schemas.openxmlformats.org/officeDocument/2006/relationships/hyperlink" Target="http://www.safeworkaustralia.gov.au/sites/SWA/Statistics/Documents/Table-2-1-number-frequency-rate-and-incidence-rate-of-serious-claims-by-industry-2009-10-2013-14.pdf" TargetMode="External"/><Relationship Id="rId6" Type="http://schemas.openxmlformats.org/officeDocument/2006/relationships/hyperlink" Target="http://www.ergonomics.org.au/resource_library/definitions" TargetMode="External"/><Relationship Id="rId5" Type="http://schemas.openxmlformats.org/officeDocument/2006/relationships/hyperlink" Target="http://www.tac.vic.gov.au/__data/assets/pdf_file/0010/27595/clinical-framework-single.pdf" TargetMode="External"/><Relationship Id="rId4" Type="http://schemas.openxmlformats.org/officeDocument/2006/relationships/hyperlink" Target="http://www.osteopathy.org.au/pages/policy-statemen-scope-of-practice-243.html" TargetMode="External"/><Relationship Id="rId9" Type="http://schemas.openxmlformats.org/officeDocument/2006/relationships/hyperlink" Target="http://www.ergonomics.org.au/downloads/HFESA_Literature/ERGONOMICS_GUIDELINES_Low_res_Final_April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D923-0814-4046-B982-5B4BA65B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Lalli</dc:creator>
  <cp:keywords/>
  <dc:description/>
  <cp:lastModifiedBy>Clinicial Policy Osteopathy</cp:lastModifiedBy>
  <cp:revision>6</cp:revision>
  <cp:lastPrinted>2017-04-12T22:28:00Z</cp:lastPrinted>
  <dcterms:created xsi:type="dcterms:W3CDTF">2018-07-02T00:38:00Z</dcterms:created>
  <dcterms:modified xsi:type="dcterms:W3CDTF">2018-07-02T00:43:00Z</dcterms:modified>
</cp:coreProperties>
</file>